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1C2E" w:rsidRDefault="00B61C2E"/>
    <w:p w:rsidR="00FF5193" w:rsidRDefault="00FF5193"/>
    <w:p w:rsidR="00FF5193" w:rsidRDefault="00FF5193"/>
    <w:p w:rsidR="00FF5193" w:rsidRDefault="00FF5193">
      <w:bookmarkStart w:id="0" w:name="_GoBack"/>
      <w:bookmarkEnd w:id="0"/>
    </w:p>
    <w:p w:rsidR="00FF5193" w:rsidRDefault="00FF5193"/>
    <w:p w:rsidR="00FF5193" w:rsidRDefault="00FF5193"/>
    <w:p w:rsidR="00FF5193" w:rsidRDefault="00FF5193"/>
    <w:p w:rsidR="00FF5193" w:rsidRDefault="00FF5193"/>
    <w:p w:rsidR="00FF5193" w:rsidRDefault="00FF5193"/>
    <w:p w:rsidR="00FF5193" w:rsidRDefault="00FF5193"/>
    <w:p w:rsidR="00FF5193" w:rsidRDefault="00FF5193"/>
    <w:p w:rsidR="00FF5193" w:rsidRDefault="00FF5193" w:rsidP="00FF5193">
      <w:pPr>
        <w:pStyle w:val="Default"/>
      </w:pPr>
    </w:p>
    <w:p w:rsidR="00FF5193" w:rsidRDefault="00FF5193" w:rsidP="00FF5193">
      <w:pPr>
        <w:jc w:val="center"/>
        <w:rPr>
          <w:b/>
          <w:bCs/>
          <w:sz w:val="40"/>
          <w:szCs w:val="40"/>
        </w:rPr>
      </w:pPr>
      <w:r>
        <w:rPr>
          <w:b/>
          <w:bCs/>
          <w:sz w:val="40"/>
          <w:szCs w:val="40"/>
        </w:rPr>
        <w:t>Programa Anual de Evaluaci</w:t>
      </w:r>
      <w:r w:rsidR="002E773B">
        <w:rPr>
          <w:b/>
          <w:bCs/>
          <w:sz w:val="40"/>
          <w:szCs w:val="40"/>
        </w:rPr>
        <w:t>ón para el Ejercicio Fiscal 2014</w:t>
      </w:r>
    </w:p>
    <w:p w:rsidR="00FF5193" w:rsidRDefault="002C7E7E">
      <w:pPr>
        <w:rPr>
          <w:b/>
          <w:bCs/>
          <w:sz w:val="40"/>
          <w:szCs w:val="40"/>
        </w:rPr>
      </w:pPr>
      <w:r>
        <w:rPr>
          <w:noProof/>
          <w:lang w:val="es-MX" w:eastAsia="es-MX"/>
        </w:rPr>
        <w:drawing>
          <wp:anchor distT="0" distB="0" distL="114300" distR="114300" simplePos="0" relativeHeight="251659264" behindDoc="1" locked="0" layoutInCell="1" allowOverlap="1" wp14:anchorId="00223A28" wp14:editId="3C1DAE5A">
            <wp:simplePos x="0" y="0"/>
            <wp:positionH relativeFrom="page">
              <wp:posOffset>-1242</wp:posOffset>
            </wp:positionH>
            <wp:positionV relativeFrom="page">
              <wp:align>bottom</wp:align>
            </wp:positionV>
            <wp:extent cx="7763510" cy="1501140"/>
            <wp:effectExtent l="0" t="0" r="8890" b="381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63510" cy="1501140"/>
                    </a:xfrm>
                    <a:prstGeom prst="rect">
                      <a:avLst/>
                    </a:prstGeom>
                    <a:noFill/>
                    <a:ln>
                      <a:noFill/>
                    </a:ln>
                  </pic:spPr>
                </pic:pic>
              </a:graphicData>
            </a:graphic>
            <wp14:sizeRelH relativeFrom="page">
              <wp14:pctWidth>0</wp14:pctWidth>
            </wp14:sizeRelH>
            <wp14:sizeRelV relativeFrom="page">
              <wp14:pctHeight>0</wp14:pctHeight>
            </wp14:sizeRelV>
          </wp:anchor>
        </w:drawing>
      </w:r>
      <w:r w:rsidR="00FF5193">
        <w:rPr>
          <w:b/>
          <w:bCs/>
          <w:sz w:val="40"/>
          <w:szCs w:val="40"/>
        </w:rPr>
        <w:br w:type="page"/>
      </w:r>
    </w:p>
    <w:p w:rsidR="00466FD2" w:rsidRDefault="00466FD2" w:rsidP="00FF5193">
      <w:pPr>
        <w:autoSpaceDE w:val="0"/>
        <w:autoSpaceDN w:val="0"/>
        <w:adjustRightInd w:val="0"/>
        <w:spacing w:after="0" w:line="240" w:lineRule="auto"/>
        <w:rPr>
          <w:rFonts w:ascii="Arial" w:hAnsi="Arial" w:cs="Arial"/>
          <w:b/>
          <w:bCs/>
          <w:color w:val="000000"/>
          <w:sz w:val="40"/>
          <w:szCs w:val="40"/>
        </w:rPr>
      </w:pPr>
    </w:p>
    <w:p w:rsidR="00466FD2" w:rsidRDefault="00466FD2" w:rsidP="00FF5193">
      <w:pPr>
        <w:autoSpaceDE w:val="0"/>
        <w:autoSpaceDN w:val="0"/>
        <w:adjustRightInd w:val="0"/>
        <w:spacing w:after="0" w:line="240" w:lineRule="auto"/>
        <w:rPr>
          <w:rFonts w:ascii="Arial" w:hAnsi="Arial" w:cs="Arial"/>
          <w:b/>
          <w:bCs/>
          <w:color w:val="000000"/>
          <w:sz w:val="40"/>
          <w:szCs w:val="40"/>
        </w:rPr>
      </w:pPr>
    </w:p>
    <w:p w:rsidR="00FF5193" w:rsidRPr="00FF5193" w:rsidRDefault="00FF5193" w:rsidP="00466FD2">
      <w:pPr>
        <w:autoSpaceDE w:val="0"/>
        <w:autoSpaceDN w:val="0"/>
        <w:adjustRightInd w:val="0"/>
        <w:spacing w:after="0" w:line="240" w:lineRule="auto"/>
        <w:jc w:val="center"/>
        <w:rPr>
          <w:rFonts w:ascii="Arial" w:hAnsi="Arial" w:cs="Arial"/>
          <w:color w:val="000000"/>
          <w:sz w:val="40"/>
          <w:szCs w:val="40"/>
        </w:rPr>
      </w:pPr>
      <w:r w:rsidRPr="00FF5193">
        <w:rPr>
          <w:rFonts w:ascii="Arial" w:hAnsi="Arial" w:cs="Arial"/>
          <w:b/>
          <w:bCs/>
          <w:color w:val="000000"/>
          <w:sz w:val="40"/>
          <w:szCs w:val="40"/>
        </w:rPr>
        <w:t>Programa Anual de Evaluaci</w:t>
      </w:r>
      <w:r w:rsidR="00466FD2">
        <w:rPr>
          <w:rFonts w:ascii="Arial" w:hAnsi="Arial" w:cs="Arial"/>
          <w:b/>
          <w:bCs/>
          <w:color w:val="000000"/>
          <w:sz w:val="40"/>
          <w:szCs w:val="40"/>
        </w:rPr>
        <w:t>ón para el Ejercicio Fiscal 2014</w:t>
      </w:r>
    </w:p>
    <w:p w:rsidR="00A5503C" w:rsidRDefault="00A5503C" w:rsidP="00FF5193">
      <w:pPr>
        <w:autoSpaceDE w:val="0"/>
        <w:autoSpaceDN w:val="0"/>
        <w:adjustRightInd w:val="0"/>
        <w:spacing w:after="0" w:line="240" w:lineRule="auto"/>
        <w:rPr>
          <w:rFonts w:ascii="Arial" w:hAnsi="Arial" w:cs="Arial"/>
          <w:color w:val="000000"/>
          <w:sz w:val="23"/>
          <w:szCs w:val="23"/>
        </w:rPr>
      </w:pPr>
    </w:p>
    <w:p w:rsidR="00FF5193" w:rsidRDefault="00FF5193" w:rsidP="00FF5193">
      <w:pPr>
        <w:autoSpaceDE w:val="0"/>
        <w:autoSpaceDN w:val="0"/>
        <w:adjustRightInd w:val="0"/>
        <w:spacing w:after="0" w:line="240" w:lineRule="auto"/>
        <w:rPr>
          <w:rFonts w:ascii="Arial" w:hAnsi="Arial" w:cs="Arial"/>
          <w:color w:val="000000"/>
          <w:sz w:val="23"/>
          <w:szCs w:val="23"/>
        </w:rPr>
      </w:pPr>
      <w:r w:rsidRPr="00FF5193">
        <w:rPr>
          <w:rFonts w:ascii="Arial" w:hAnsi="Arial" w:cs="Arial"/>
          <w:color w:val="000000"/>
          <w:sz w:val="23"/>
          <w:szCs w:val="23"/>
        </w:rPr>
        <w:t xml:space="preserve">(Programas Presupuestales de la Administración Pública Estatal de Nayarit) </w:t>
      </w:r>
    </w:p>
    <w:p w:rsidR="00466FD2" w:rsidRDefault="00466FD2" w:rsidP="00FF5193">
      <w:pPr>
        <w:autoSpaceDE w:val="0"/>
        <w:autoSpaceDN w:val="0"/>
        <w:adjustRightInd w:val="0"/>
        <w:spacing w:after="0" w:line="240" w:lineRule="auto"/>
        <w:rPr>
          <w:rFonts w:ascii="Arial" w:hAnsi="Arial" w:cs="Arial"/>
          <w:color w:val="000000"/>
          <w:sz w:val="23"/>
          <w:szCs w:val="23"/>
        </w:rPr>
      </w:pPr>
    </w:p>
    <w:p w:rsidR="00466FD2" w:rsidRDefault="00466FD2" w:rsidP="00FF5193">
      <w:pPr>
        <w:autoSpaceDE w:val="0"/>
        <w:autoSpaceDN w:val="0"/>
        <w:adjustRightInd w:val="0"/>
        <w:spacing w:after="0" w:line="240" w:lineRule="auto"/>
        <w:rPr>
          <w:rFonts w:ascii="Arial" w:hAnsi="Arial" w:cs="Arial"/>
          <w:color w:val="000000"/>
          <w:sz w:val="23"/>
          <w:szCs w:val="23"/>
        </w:rPr>
      </w:pPr>
    </w:p>
    <w:p w:rsidR="00A5503C" w:rsidRDefault="00A5503C" w:rsidP="00FF5193">
      <w:pPr>
        <w:autoSpaceDE w:val="0"/>
        <w:autoSpaceDN w:val="0"/>
        <w:adjustRightInd w:val="0"/>
        <w:spacing w:after="0" w:line="240" w:lineRule="auto"/>
        <w:rPr>
          <w:rFonts w:ascii="Arial" w:hAnsi="Arial" w:cs="Arial"/>
          <w:color w:val="000000"/>
          <w:sz w:val="23"/>
          <w:szCs w:val="23"/>
        </w:rPr>
      </w:pPr>
    </w:p>
    <w:p w:rsidR="00466FD2" w:rsidRPr="00FF5193" w:rsidRDefault="00466FD2" w:rsidP="00FF5193">
      <w:pPr>
        <w:autoSpaceDE w:val="0"/>
        <w:autoSpaceDN w:val="0"/>
        <w:adjustRightInd w:val="0"/>
        <w:spacing w:after="0" w:line="240" w:lineRule="auto"/>
        <w:rPr>
          <w:rFonts w:ascii="Arial" w:hAnsi="Arial" w:cs="Arial"/>
          <w:color w:val="000000"/>
          <w:sz w:val="23"/>
          <w:szCs w:val="23"/>
        </w:rPr>
      </w:pPr>
    </w:p>
    <w:tbl>
      <w:tblPr>
        <w:tblStyle w:val="Tablanormal1"/>
        <w:tblW w:w="0" w:type="auto"/>
        <w:tblLayout w:type="fixed"/>
        <w:tblLook w:val="0000" w:firstRow="0" w:lastRow="0" w:firstColumn="0" w:lastColumn="0" w:noHBand="0" w:noVBand="0"/>
      </w:tblPr>
      <w:tblGrid>
        <w:gridCol w:w="7621"/>
        <w:gridCol w:w="709"/>
      </w:tblGrid>
      <w:tr w:rsidR="002D62D8" w:rsidRPr="00C515FF" w:rsidTr="002D62D8">
        <w:trPr>
          <w:cnfStyle w:val="000000100000" w:firstRow="0" w:lastRow="0" w:firstColumn="0" w:lastColumn="0" w:oddVBand="0" w:evenVBand="0" w:oddHBand="1" w:evenHBand="0" w:firstRowFirstColumn="0" w:firstRowLastColumn="0" w:lastRowFirstColumn="0" w:lastRowLastColumn="0"/>
          <w:trHeight w:val="456"/>
        </w:trPr>
        <w:tc>
          <w:tcPr>
            <w:cnfStyle w:val="000010000000" w:firstRow="0" w:lastRow="0" w:firstColumn="0" w:lastColumn="0" w:oddVBand="1" w:evenVBand="0" w:oddHBand="0" w:evenHBand="0" w:firstRowFirstColumn="0" w:firstRowLastColumn="0" w:lastRowFirstColumn="0" w:lastRowLastColumn="0"/>
            <w:tcW w:w="7621" w:type="dxa"/>
            <w:vAlign w:val="center"/>
          </w:tcPr>
          <w:p w:rsidR="002D62D8" w:rsidRPr="002D62D8" w:rsidRDefault="002D62D8" w:rsidP="002D62D8">
            <w:pPr>
              <w:autoSpaceDE w:val="0"/>
              <w:autoSpaceDN w:val="0"/>
              <w:adjustRightInd w:val="0"/>
              <w:jc w:val="center"/>
              <w:rPr>
                <w:rFonts w:ascii="Arial" w:hAnsi="Arial" w:cs="Arial"/>
                <w:sz w:val="24"/>
                <w:szCs w:val="24"/>
              </w:rPr>
            </w:pPr>
            <w:r>
              <w:rPr>
                <w:rFonts w:ascii="Arial" w:hAnsi="Arial" w:cs="Arial"/>
                <w:b/>
                <w:bCs/>
                <w:color w:val="000000"/>
                <w:sz w:val="28"/>
                <w:szCs w:val="28"/>
              </w:rPr>
              <w:t>CONTENIDO</w:t>
            </w:r>
          </w:p>
        </w:tc>
        <w:tc>
          <w:tcPr>
            <w:tcW w:w="709" w:type="dxa"/>
            <w:vAlign w:val="center"/>
          </w:tcPr>
          <w:p w:rsidR="002D62D8" w:rsidRDefault="002D62D8" w:rsidP="002D62D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32"/>
                <w:szCs w:val="23"/>
              </w:rPr>
            </w:pPr>
            <w:proofErr w:type="spellStart"/>
            <w:r w:rsidRPr="002D62D8">
              <w:rPr>
                <w:rFonts w:ascii="Arial" w:hAnsi="Arial" w:cs="Arial"/>
                <w:b/>
                <w:bCs/>
                <w:color w:val="000000"/>
                <w:szCs w:val="23"/>
              </w:rPr>
              <w:t>Pag</w:t>
            </w:r>
            <w:proofErr w:type="spellEnd"/>
            <w:r w:rsidRPr="002D62D8">
              <w:rPr>
                <w:rFonts w:ascii="Arial" w:hAnsi="Arial" w:cs="Arial"/>
                <w:b/>
                <w:bCs/>
                <w:color w:val="000000"/>
                <w:szCs w:val="23"/>
              </w:rPr>
              <w:t>.</w:t>
            </w:r>
          </w:p>
        </w:tc>
      </w:tr>
      <w:tr w:rsidR="00FF5193" w:rsidRPr="00C515FF" w:rsidTr="002D62D8">
        <w:trPr>
          <w:trHeight w:val="456"/>
        </w:trPr>
        <w:tc>
          <w:tcPr>
            <w:cnfStyle w:val="000010000000" w:firstRow="0" w:lastRow="0" w:firstColumn="0" w:lastColumn="0" w:oddVBand="1" w:evenVBand="0" w:oddHBand="0" w:evenHBand="0" w:firstRowFirstColumn="0" w:firstRowLastColumn="0" w:lastRowFirstColumn="0" w:lastRowLastColumn="0"/>
            <w:tcW w:w="7621" w:type="dxa"/>
            <w:vAlign w:val="center"/>
          </w:tcPr>
          <w:p w:rsidR="00FF5193" w:rsidRPr="00C515FF" w:rsidRDefault="00FF5193" w:rsidP="002D62D8">
            <w:pPr>
              <w:autoSpaceDE w:val="0"/>
              <w:autoSpaceDN w:val="0"/>
              <w:adjustRightInd w:val="0"/>
              <w:rPr>
                <w:rFonts w:ascii="Arial" w:hAnsi="Arial" w:cs="Arial"/>
                <w:color w:val="000000"/>
                <w:sz w:val="24"/>
                <w:szCs w:val="23"/>
              </w:rPr>
            </w:pPr>
            <w:r w:rsidRPr="00C515FF">
              <w:rPr>
                <w:rFonts w:ascii="Arial" w:hAnsi="Arial" w:cs="Arial"/>
                <w:b/>
                <w:bCs/>
                <w:color w:val="000000"/>
                <w:sz w:val="24"/>
                <w:szCs w:val="23"/>
              </w:rPr>
              <w:t xml:space="preserve">1. Marco Jurídico. </w:t>
            </w:r>
          </w:p>
        </w:tc>
        <w:tc>
          <w:tcPr>
            <w:tcW w:w="709" w:type="dxa"/>
            <w:vAlign w:val="center"/>
          </w:tcPr>
          <w:p w:rsidR="00FF5193" w:rsidRPr="002D62D8" w:rsidRDefault="008A736E" w:rsidP="002D62D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8"/>
                <w:szCs w:val="23"/>
              </w:rPr>
            </w:pPr>
            <w:r w:rsidRPr="002D62D8">
              <w:rPr>
                <w:rFonts w:ascii="Arial" w:hAnsi="Arial" w:cs="Arial"/>
                <w:b/>
                <w:bCs/>
                <w:color w:val="000000"/>
                <w:sz w:val="28"/>
                <w:szCs w:val="23"/>
              </w:rPr>
              <w:t>3</w:t>
            </w:r>
          </w:p>
        </w:tc>
      </w:tr>
      <w:tr w:rsidR="00FF5193" w:rsidRPr="00C515FF" w:rsidTr="002D62D8">
        <w:trPr>
          <w:cnfStyle w:val="000000100000" w:firstRow="0" w:lastRow="0" w:firstColumn="0" w:lastColumn="0" w:oddVBand="0" w:evenVBand="0" w:oddHBand="1" w:evenHBand="0" w:firstRowFirstColumn="0" w:firstRowLastColumn="0" w:lastRowFirstColumn="0" w:lastRowLastColumn="0"/>
          <w:trHeight w:val="458"/>
        </w:trPr>
        <w:tc>
          <w:tcPr>
            <w:cnfStyle w:val="000010000000" w:firstRow="0" w:lastRow="0" w:firstColumn="0" w:lastColumn="0" w:oddVBand="1" w:evenVBand="0" w:oddHBand="0" w:evenHBand="0" w:firstRowFirstColumn="0" w:firstRowLastColumn="0" w:lastRowFirstColumn="0" w:lastRowLastColumn="0"/>
            <w:tcW w:w="7621" w:type="dxa"/>
            <w:vAlign w:val="center"/>
          </w:tcPr>
          <w:p w:rsidR="00FF5193" w:rsidRPr="00C515FF" w:rsidRDefault="00FF5193" w:rsidP="002D62D8">
            <w:pPr>
              <w:autoSpaceDE w:val="0"/>
              <w:autoSpaceDN w:val="0"/>
              <w:adjustRightInd w:val="0"/>
              <w:rPr>
                <w:rFonts w:ascii="Arial" w:hAnsi="Arial" w:cs="Arial"/>
                <w:color w:val="000000"/>
                <w:sz w:val="24"/>
                <w:szCs w:val="23"/>
              </w:rPr>
            </w:pPr>
            <w:r w:rsidRPr="00C515FF">
              <w:rPr>
                <w:rFonts w:ascii="Arial" w:hAnsi="Arial" w:cs="Arial"/>
                <w:b/>
                <w:bCs/>
                <w:color w:val="000000"/>
                <w:sz w:val="24"/>
                <w:szCs w:val="23"/>
              </w:rPr>
              <w:t>2. Objet</w:t>
            </w:r>
            <w:r w:rsidR="00714AC8">
              <w:rPr>
                <w:rFonts w:ascii="Arial" w:hAnsi="Arial" w:cs="Arial"/>
                <w:b/>
                <w:bCs/>
                <w:color w:val="000000"/>
                <w:sz w:val="24"/>
                <w:szCs w:val="23"/>
              </w:rPr>
              <w:t>ivos del Programa Anual de e</w:t>
            </w:r>
            <w:r w:rsidRPr="00C515FF">
              <w:rPr>
                <w:rFonts w:ascii="Arial" w:hAnsi="Arial" w:cs="Arial"/>
                <w:b/>
                <w:bCs/>
                <w:color w:val="000000"/>
                <w:sz w:val="24"/>
                <w:szCs w:val="23"/>
              </w:rPr>
              <w:t xml:space="preserve">valuación. </w:t>
            </w:r>
          </w:p>
        </w:tc>
        <w:tc>
          <w:tcPr>
            <w:tcW w:w="709" w:type="dxa"/>
            <w:vAlign w:val="center"/>
          </w:tcPr>
          <w:p w:rsidR="00FF5193" w:rsidRPr="002D62D8" w:rsidRDefault="008A736E" w:rsidP="002D62D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8"/>
                <w:szCs w:val="23"/>
              </w:rPr>
            </w:pPr>
            <w:r w:rsidRPr="002D62D8">
              <w:rPr>
                <w:rFonts w:ascii="Arial" w:hAnsi="Arial" w:cs="Arial"/>
                <w:b/>
                <w:bCs/>
                <w:color w:val="000000"/>
                <w:sz w:val="28"/>
                <w:szCs w:val="23"/>
              </w:rPr>
              <w:t>3</w:t>
            </w:r>
          </w:p>
        </w:tc>
      </w:tr>
      <w:tr w:rsidR="00FF5193" w:rsidRPr="00C515FF" w:rsidTr="002D62D8">
        <w:trPr>
          <w:trHeight w:val="550"/>
        </w:trPr>
        <w:tc>
          <w:tcPr>
            <w:cnfStyle w:val="000010000000" w:firstRow="0" w:lastRow="0" w:firstColumn="0" w:lastColumn="0" w:oddVBand="1" w:evenVBand="0" w:oddHBand="0" w:evenHBand="0" w:firstRowFirstColumn="0" w:firstRowLastColumn="0" w:lastRowFirstColumn="0" w:lastRowLastColumn="0"/>
            <w:tcW w:w="7621" w:type="dxa"/>
            <w:vAlign w:val="center"/>
          </w:tcPr>
          <w:p w:rsidR="00FF5193" w:rsidRPr="00C515FF" w:rsidRDefault="00FF5193" w:rsidP="002D62D8">
            <w:pPr>
              <w:autoSpaceDE w:val="0"/>
              <w:autoSpaceDN w:val="0"/>
              <w:adjustRightInd w:val="0"/>
              <w:rPr>
                <w:rFonts w:ascii="Arial" w:hAnsi="Arial" w:cs="Arial"/>
                <w:color w:val="000000"/>
                <w:sz w:val="24"/>
                <w:szCs w:val="23"/>
              </w:rPr>
            </w:pPr>
            <w:r w:rsidRPr="00C515FF">
              <w:rPr>
                <w:rFonts w:ascii="Arial" w:hAnsi="Arial" w:cs="Arial"/>
                <w:b/>
                <w:bCs/>
                <w:color w:val="000000"/>
                <w:sz w:val="24"/>
                <w:szCs w:val="23"/>
              </w:rPr>
              <w:t xml:space="preserve">3. Glosario de Términos. </w:t>
            </w:r>
          </w:p>
        </w:tc>
        <w:tc>
          <w:tcPr>
            <w:tcW w:w="709" w:type="dxa"/>
            <w:vAlign w:val="center"/>
          </w:tcPr>
          <w:p w:rsidR="00FF5193" w:rsidRPr="002D62D8" w:rsidRDefault="008A736E" w:rsidP="002D62D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8"/>
                <w:szCs w:val="23"/>
              </w:rPr>
            </w:pPr>
            <w:r w:rsidRPr="002D62D8">
              <w:rPr>
                <w:rFonts w:ascii="Arial" w:hAnsi="Arial" w:cs="Arial"/>
                <w:b/>
                <w:bCs/>
                <w:color w:val="000000"/>
                <w:sz w:val="28"/>
                <w:szCs w:val="23"/>
              </w:rPr>
              <w:t>4</w:t>
            </w:r>
          </w:p>
        </w:tc>
      </w:tr>
      <w:tr w:rsidR="00FF5193" w:rsidRPr="00C515FF" w:rsidTr="002D62D8">
        <w:trPr>
          <w:cnfStyle w:val="000000100000" w:firstRow="0" w:lastRow="0" w:firstColumn="0" w:lastColumn="0" w:oddVBand="0" w:evenVBand="0" w:oddHBand="1" w:evenHBand="0" w:firstRowFirstColumn="0" w:firstRowLastColumn="0" w:lastRowFirstColumn="0" w:lastRowLastColumn="0"/>
          <w:trHeight w:val="415"/>
        </w:trPr>
        <w:tc>
          <w:tcPr>
            <w:cnfStyle w:val="000010000000" w:firstRow="0" w:lastRow="0" w:firstColumn="0" w:lastColumn="0" w:oddVBand="1" w:evenVBand="0" w:oddHBand="0" w:evenHBand="0" w:firstRowFirstColumn="0" w:firstRowLastColumn="0" w:lastRowFirstColumn="0" w:lastRowLastColumn="0"/>
            <w:tcW w:w="7621" w:type="dxa"/>
            <w:vAlign w:val="center"/>
          </w:tcPr>
          <w:p w:rsidR="00FF5193" w:rsidRPr="00C515FF" w:rsidRDefault="00FF5193" w:rsidP="002D62D8">
            <w:pPr>
              <w:autoSpaceDE w:val="0"/>
              <w:autoSpaceDN w:val="0"/>
              <w:adjustRightInd w:val="0"/>
              <w:rPr>
                <w:rFonts w:ascii="Arial" w:hAnsi="Arial" w:cs="Arial"/>
                <w:color w:val="000000"/>
                <w:sz w:val="24"/>
                <w:szCs w:val="23"/>
              </w:rPr>
            </w:pPr>
            <w:r w:rsidRPr="00C515FF">
              <w:rPr>
                <w:rFonts w:ascii="Arial" w:hAnsi="Arial" w:cs="Arial"/>
                <w:b/>
                <w:bCs/>
                <w:color w:val="000000"/>
                <w:sz w:val="24"/>
                <w:szCs w:val="23"/>
              </w:rPr>
              <w:t xml:space="preserve">4. Áreas Responsables. </w:t>
            </w:r>
          </w:p>
        </w:tc>
        <w:tc>
          <w:tcPr>
            <w:tcW w:w="709" w:type="dxa"/>
            <w:vAlign w:val="center"/>
          </w:tcPr>
          <w:p w:rsidR="00FF5193" w:rsidRPr="002D62D8" w:rsidRDefault="008A736E" w:rsidP="002D62D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8"/>
                <w:szCs w:val="23"/>
              </w:rPr>
            </w:pPr>
            <w:r w:rsidRPr="002D62D8">
              <w:rPr>
                <w:rFonts w:ascii="Arial" w:hAnsi="Arial" w:cs="Arial"/>
                <w:b/>
                <w:bCs/>
                <w:color w:val="000000"/>
                <w:sz w:val="28"/>
                <w:szCs w:val="23"/>
              </w:rPr>
              <w:t>5</w:t>
            </w:r>
          </w:p>
        </w:tc>
      </w:tr>
      <w:tr w:rsidR="00FF5193" w:rsidRPr="00C515FF" w:rsidTr="002D62D8">
        <w:trPr>
          <w:trHeight w:val="421"/>
        </w:trPr>
        <w:tc>
          <w:tcPr>
            <w:cnfStyle w:val="000010000000" w:firstRow="0" w:lastRow="0" w:firstColumn="0" w:lastColumn="0" w:oddVBand="1" w:evenVBand="0" w:oddHBand="0" w:evenHBand="0" w:firstRowFirstColumn="0" w:firstRowLastColumn="0" w:lastRowFirstColumn="0" w:lastRowLastColumn="0"/>
            <w:tcW w:w="7621" w:type="dxa"/>
            <w:vAlign w:val="center"/>
          </w:tcPr>
          <w:p w:rsidR="00FF5193" w:rsidRPr="00C515FF" w:rsidRDefault="00225C94" w:rsidP="002D62D8">
            <w:pPr>
              <w:autoSpaceDE w:val="0"/>
              <w:autoSpaceDN w:val="0"/>
              <w:adjustRightInd w:val="0"/>
              <w:rPr>
                <w:rFonts w:ascii="Arial" w:hAnsi="Arial" w:cs="Arial"/>
                <w:color w:val="000000"/>
                <w:sz w:val="24"/>
                <w:szCs w:val="23"/>
              </w:rPr>
            </w:pPr>
            <w:r>
              <w:rPr>
                <w:rFonts w:ascii="Arial" w:hAnsi="Arial" w:cs="Arial"/>
                <w:b/>
                <w:bCs/>
                <w:color w:val="000000"/>
                <w:sz w:val="24"/>
                <w:szCs w:val="23"/>
              </w:rPr>
              <w:t xml:space="preserve">5. </w:t>
            </w:r>
            <w:r w:rsidRPr="003A150A">
              <w:rPr>
                <w:rFonts w:ascii="Arial" w:hAnsi="Arial" w:cs="Arial"/>
                <w:b/>
                <w:bCs/>
                <w:color w:val="000000"/>
                <w:sz w:val="24"/>
                <w:szCs w:val="23"/>
              </w:rPr>
              <w:t xml:space="preserve">Sistema de </w:t>
            </w:r>
            <w:r>
              <w:rPr>
                <w:rFonts w:ascii="Arial" w:hAnsi="Arial" w:cs="Arial"/>
                <w:b/>
                <w:bCs/>
                <w:color w:val="000000"/>
                <w:sz w:val="24"/>
                <w:szCs w:val="23"/>
              </w:rPr>
              <w:t>E</w:t>
            </w:r>
            <w:r w:rsidRPr="003A150A">
              <w:rPr>
                <w:rFonts w:ascii="Arial" w:hAnsi="Arial" w:cs="Arial"/>
                <w:b/>
                <w:bCs/>
                <w:color w:val="000000"/>
                <w:sz w:val="24"/>
                <w:szCs w:val="23"/>
              </w:rPr>
              <w:t>valuación del Desempeño SED)</w:t>
            </w:r>
            <w:r w:rsidR="00FF5193" w:rsidRPr="00C515FF">
              <w:rPr>
                <w:rFonts w:ascii="Arial" w:hAnsi="Arial" w:cs="Arial"/>
                <w:b/>
                <w:bCs/>
                <w:color w:val="000000"/>
                <w:sz w:val="24"/>
                <w:szCs w:val="23"/>
              </w:rPr>
              <w:t xml:space="preserve"> </w:t>
            </w:r>
          </w:p>
        </w:tc>
        <w:tc>
          <w:tcPr>
            <w:tcW w:w="709" w:type="dxa"/>
            <w:vAlign w:val="center"/>
          </w:tcPr>
          <w:p w:rsidR="00FF5193" w:rsidRPr="002D62D8" w:rsidRDefault="002E773B" w:rsidP="002D62D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8"/>
                <w:szCs w:val="23"/>
              </w:rPr>
            </w:pPr>
            <w:r w:rsidRPr="002D62D8">
              <w:rPr>
                <w:rFonts w:ascii="Arial" w:hAnsi="Arial" w:cs="Arial"/>
                <w:b/>
                <w:bCs/>
                <w:color w:val="000000"/>
                <w:sz w:val="28"/>
                <w:szCs w:val="23"/>
              </w:rPr>
              <w:t>6</w:t>
            </w:r>
          </w:p>
        </w:tc>
      </w:tr>
      <w:tr w:rsidR="003A150A" w:rsidRPr="00C515FF" w:rsidTr="002D62D8">
        <w:trPr>
          <w:cnfStyle w:val="000000100000" w:firstRow="0" w:lastRow="0" w:firstColumn="0" w:lastColumn="0" w:oddVBand="0" w:evenVBand="0" w:oddHBand="1" w:evenHBand="0" w:firstRowFirstColumn="0" w:firstRowLastColumn="0" w:lastRowFirstColumn="0" w:lastRowLastColumn="0"/>
          <w:trHeight w:val="542"/>
        </w:trPr>
        <w:tc>
          <w:tcPr>
            <w:cnfStyle w:val="000010000000" w:firstRow="0" w:lastRow="0" w:firstColumn="0" w:lastColumn="0" w:oddVBand="1" w:evenVBand="0" w:oddHBand="0" w:evenHBand="0" w:firstRowFirstColumn="0" w:firstRowLastColumn="0" w:lastRowFirstColumn="0" w:lastRowLastColumn="0"/>
            <w:tcW w:w="7621" w:type="dxa"/>
            <w:vAlign w:val="center"/>
          </w:tcPr>
          <w:p w:rsidR="003A150A" w:rsidRPr="00C515FF" w:rsidRDefault="00225C94" w:rsidP="002D62D8">
            <w:pPr>
              <w:autoSpaceDE w:val="0"/>
              <w:autoSpaceDN w:val="0"/>
              <w:adjustRightInd w:val="0"/>
              <w:rPr>
                <w:rFonts w:ascii="Arial" w:hAnsi="Arial" w:cs="Arial"/>
                <w:sz w:val="24"/>
                <w:szCs w:val="24"/>
              </w:rPr>
            </w:pPr>
            <w:r>
              <w:rPr>
                <w:rFonts w:ascii="Arial" w:hAnsi="Arial" w:cs="Arial"/>
                <w:b/>
                <w:bCs/>
                <w:color w:val="000000"/>
                <w:sz w:val="24"/>
                <w:szCs w:val="23"/>
              </w:rPr>
              <w:t>6</w:t>
            </w:r>
            <w:r w:rsidRPr="00C515FF">
              <w:rPr>
                <w:rFonts w:ascii="Arial" w:hAnsi="Arial" w:cs="Arial"/>
                <w:b/>
                <w:bCs/>
                <w:color w:val="000000"/>
                <w:sz w:val="24"/>
                <w:szCs w:val="23"/>
              </w:rPr>
              <w:t>. Matriz de Indicadores de Resultados (MIR).</w:t>
            </w:r>
          </w:p>
        </w:tc>
        <w:tc>
          <w:tcPr>
            <w:tcW w:w="709" w:type="dxa"/>
            <w:vAlign w:val="center"/>
          </w:tcPr>
          <w:p w:rsidR="003A150A" w:rsidRPr="002D62D8" w:rsidRDefault="002D62D8" w:rsidP="002D62D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8"/>
                <w:szCs w:val="23"/>
              </w:rPr>
            </w:pPr>
            <w:r w:rsidRPr="002D62D8">
              <w:rPr>
                <w:rFonts w:ascii="Arial" w:hAnsi="Arial" w:cs="Arial"/>
                <w:b/>
                <w:bCs/>
                <w:color w:val="000000"/>
                <w:sz w:val="28"/>
                <w:szCs w:val="23"/>
              </w:rPr>
              <w:t>7</w:t>
            </w:r>
          </w:p>
        </w:tc>
      </w:tr>
      <w:tr w:rsidR="00FF5193" w:rsidRPr="00C515FF" w:rsidTr="002D62D8">
        <w:trPr>
          <w:trHeight w:val="422"/>
        </w:trPr>
        <w:tc>
          <w:tcPr>
            <w:cnfStyle w:val="000010000000" w:firstRow="0" w:lastRow="0" w:firstColumn="0" w:lastColumn="0" w:oddVBand="1" w:evenVBand="0" w:oddHBand="0" w:evenHBand="0" w:firstRowFirstColumn="0" w:firstRowLastColumn="0" w:lastRowFirstColumn="0" w:lastRowLastColumn="0"/>
            <w:tcW w:w="7621" w:type="dxa"/>
            <w:vAlign w:val="center"/>
          </w:tcPr>
          <w:p w:rsidR="00FF5193" w:rsidRPr="00C515FF" w:rsidRDefault="003A150A" w:rsidP="002D62D8">
            <w:pPr>
              <w:autoSpaceDE w:val="0"/>
              <w:autoSpaceDN w:val="0"/>
              <w:adjustRightInd w:val="0"/>
              <w:rPr>
                <w:rFonts w:ascii="Arial" w:hAnsi="Arial" w:cs="Arial"/>
                <w:color w:val="000000"/>
                <w:sz w:val="24"/>
                <w:szCs w:val="23"/>
              </w:rPr>
            </w:pPr>
            <w:r>
              <w:rPr>
                <w:rFonts w:ascii="Arial" w:hAnsi="Arial" w:cs="Arial"/>
                <w:b/>
                <w:bCs/>
                <w:color w:val="000000"/>
                <w:sz w:val="24"/>
                <w:szCs w:val="23"/>
              </w:rPr>
              <w:t>7</w:t>
            </w:r>
            <w:r w:rsidR="00FF5193" w:rsidRPr="00C515FF">
              <w:rPr>
                <w:rFonts w:ascii="Arial" w:hAnsi="Arial" w:cs="Arial"/>
                <w:b/>
                <w:bCs/>
                <w:color w:val="000000"/>
                <w:sz w:val="24"/>
                <w:szCs w:val="23"/>
              </w:rPr>
              <w:t xml:space="preserve">. Tipos de Evaluación. </w:t>
            </w:r>
          </w:p>
        </w:tc>
        <w:tc>
          <w:tcPr>
            <w:tcW w:w="709" w:type="dxa"/>
            <w:vAlign w:val="center"/>
          </w:tcPr>
          <w:p w:rsidR="00FF5193" w:rsidRPr="002D62D8" w:rsidRDefault="002D62D8" w:rsidP="002D62D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8"/>
                <w:szCs w:val="23"/>
              </w:rPr>
            </w:pPr>
            <w:r w:rsidRPr="002D62D8">
              <w:rPr>
                <w:rFonts w:ascii="Arial" w:hAnsi="Arial" w:cs="Arial"/>
                <w:b/>
                <w:bCs/>
                <w:color w:val="000000"/>
                <w:sz w:val="28"/>
                <w:szCs w:val="23"/>
              </w:rPr>
              <w:t>8</w:t>
            </w:r>
          </w:p>
        </w:tc>
      </w:tr>
      <w:tr w:rsidR="00FF5193" w:rsidRPr="00C515FF" w:rsidTr="002D62D8">
        <w:trPr>
          <w:cnfStyle w:val="000000100000" w:firstRow="0" w:lastRow="0" w:firstColumn="0" w:lastColumn="0" w:oddVBand="0" w:evenVBand="0" w:oddHBand="1" w:evenHBand="0" w:firstRowFirstColumn="0" w:firstRowLastColumn="0" w:lastRowFirstColumn="0" w:lastRowLastColumn="0"/>
          <w:trHeight w:val="428"/>
        </w:trPr>
        <w:tc>
          <w:tcPr>
            <w:cnfStyle w:val="000010000000" w:firstRow="0" w:lastRow="0" w:firstColumn="0" w:lastColumn="0" w:oddVBand="1" w:evenVBand="0" w:oddHBand="0" w:evenHBand="0" w:firstRowFirstColumn="0" w:firstRowLastColumn="0" w:lastRowFirstColumn="0" w:lastRowLastColumn="0"/>
            <w:tcW w:w="7621" w:type="dxa"/>
            <w:vAlign w:val="center"/>
          </w:tcPr>
          <w:p w:rsidR="00FF5193" w:rsidRPr="008A736E" w:rsidRDefault="003A150A" w:rsidP="002D62D8">
            <w:pPr>
              <w:pStyle w:val="Default"/>
              <w:rPr>
                <w:b/>
                <w:bCs/>
              </w:rPr>
            </w:pPr>
            <w:r>
              <w:rPr>
                <w:b/>
                <w:bCs/>
                <w:szCs w:val="23"/>
              </w:rPr>
              <w:t>8</w:t>
            </w:r>
            <w:r w:rsidR="00FF5193" w:rsidRPr="00C515FF">
              <w:rPr>
                <w:b/>
                <w:bCs/>
                <w:szCs w:val="23"/>
              </w:rPr>
              <w:t xml:space="preserve">. </w:t>
            </w:r>
            <w:r w:rsidR="008A736E">
              <w:rPr>
                <w:b/>
                <w:bCs/>
              </w:rPr>
              <w:t xml:space="preserve">Definición de los </w:t>
            </w:r>
            <w:r w:rsidR="008A736E" w:rsidRPr="006932EC">
              <w:rPr>
                <w:b/>
                <w:bCs/>
              </w:rPr>
              <w:t xml:space="preserve">Programas Presupuestales </w:t>
            </w:r>
            <w:r w:rsidR="008A736E">
              <w:rPr>
                <w:b/>
                <w:bCs/>
              </w:rPr>
              <w:t>a ser evaluados</w:t>
            </w:r>
          </w:p>
        </w:tc>
        <w:tc>
          <w:tcPr>
            <w:tcW w:w="709" w:type="dxa"/>
            <w:vAlign w:val="center"/>
          </w:tcPr>
          <w:p w:rsidR="00FF5193" w:rsidRPr="002D62D8" w:rsidRDefault="002D62D8" w:rsidP="002D62D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8"/>
                <w:szCs w:val="23"/>
              </w:rPr>
            </w:pPr>
            <w:r w:rsidRPr="002D62D8">
              <w:rPr>
                <w:rFonts w:ascii="Arial" w:hAnsi="Arial" w:cs="Arial"/>
                <w:b/>
                <w:bCs/>
                <w:color w:val="000000"/>
                <w:sz w:val="28"/>
                <w:szCs w:val="23"/>
              </w:rPr>
              <w:t>8</w:t>
            </w:r>
          </w:p>
        </w:tc>
      </w:tr>
      <w:tr w:rsidR="00FF5193" w:rsidRPr="00C515FF" w:rsidTr="002D62D8">
        <w:trPr>
          <w:trHeight w:val="548"/>
        </w:trPr>
        <w:tc>
          <w:tcPr>
            <w:cnfStyle w:val="000010000000" w:firstRow="0" w:lastRow="0" w:firstColumn="0" w:lastColumn="0" w:oddVBand="1" w:evenVBand="0" w:oddHBand="0" w:evenHBand="0" w:firstRowFirstColumn="0" w:firstRowLastColumn="0" w:lastRowFirstColumn="0" w:lastRowLastColumn="0"/>
            <w:tcW w:w="7621" w:type="dxa"/>
            <w:vAlign w:val="center"/>
          </w:tcPr>
          <w:p w:rsidR="00FF5193" w:rsidRPr="00C515FF" w:rsidRDefault="003A150A" w:rsidP="002D62D8">
            <w:pPr>
              <w:autoSpaceDE w:val="0"/>
              <w:autoSpaceDN w:val="0"/>
              <w:adjustRightInd w:val="0"/>
              <w:rPr>
                <w:rFonts w:ascii="Arial" w:hAnsi="Arial" w:cs="Arial"/>
                <w:color w:val="000000"/>
                <w:sz w:val="24"/>
                <w:szCs w:val="23"/>
              </w:rPr>
            </w:pPr>
            <w:r>
              <w:rPr>
                <w:rFonts w:ascii="Arial" w:hAnsi="Arial" w:cs="Arial"/>
                <w:b/>
                <w:bCs/>
                <w:color w:val="000000"/>
                <w:sz w:val="24"/>
                <w:szCs w:val="23"/>
              </w:rPr>
              <w:t>9</w:t>
            </w:r>
            <w:r w:rsidR="00FF5193" w:rsidRPr="00C515FF">
              <w:rPr>
                <w:rFonts w:ascii="Arial" w:hAnsi="Arial" w:cs="Arial"/>
                <w:b/>
                <w:bCs/>
                <w:color w:val="000000"/>
                <w:sz w:val="24"/>
                <w:szCs w:val="23"/>
              </w:rPr>
              <w:t xml:space="preserve">. Seguimiento a los </w:t>
            </w:r>
            <w:r>
              <w:rPr>
                <w:rFonts w:ascii="Arial" w:hAnsi="Arial" w:cs="Arial"/>
                <w:b/>
                <w:bCs/>
                <w:color w:val="000000"/>
                <w:sz w:val="24"/>
                <w:szCs w:val="23"/>
              </w:rPr>
              <w:t>Aspectos Susceptibles de M</w:t>
            </w:r>
            <w:r w:rsidR="00FF5193" w:rsidRPr="00C515FF">
              <w:rPr>
                <w:rFonts w:ascii="Arial" w:hAnsi="Arial" w:cs="Arial"/>
                <w:b/>
                <w:bCs/>
                <w:color w:val="000000"/>
                <w:sz w:val="24"/>
                <w:szCs w:val="23"/>
              </w:rPr>
              <w:t xml:space="preserve">ejora </w:t>
            </w:r>
          </w:p>
        </w:tc>
        <w:tc>
          <w:tcPr>
            <w:tcW w:w="709" w:type="dxa"/>
            <w:vAlign w:val="center"/>
          </w:tcPr>
          <w:p w:rsidR="00FF5193" w:rsidRPr="002D62D8" w:rsidRDefault="002E773B" w:rsidP="002D62D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8"/>
                <w:szCs w:val="23"/>
              </w:rPr>
            </w:pPr>
            <w:r w:rsidRPr="002D62D8">
              <w:rPr>
                <w:rFonts w:ascii="Arial" w:hAnsi="Arial" w:cs="Arial"/>
                <w:b/>
                <w:bCs/>
                <w:color w:val="000000"/>
                <w:sz w:val="28"/>
                <w:szCs w:val="23"/>
              </w:rPr>
              <w:t>7</w:t>
            </w:r>
          </w:p>
        </w:tc>
      </w:tr>
      <w:tr w:rsidR="003A150A" w:rsidRPr="00C515FF" w:rsidTr="002D62D8">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7621" w:type="dxa"/>
            <w:vAlign w:val="center"/>
          </w:tcPr>
          <w:p w:rsidR="003A150A" w:rsidRPr="00A5503C" w:rsidRDefault="003A150A" w:rsidP="002D62D8">
            <w:pPr>
              <w:autoSpaceDE w:val="0"/>
              <w:autoSpaceDN w:val="0"/>
              <w:adjustRightInd w:val="0"/>
              <w:rPr>
                <w:rFonts w:ascii="Arial" w:hAnsi="Arial" w:cs="Arial"/>
                <w:color w:val="000000"/>
                <w:sz w:val="24"/>
                <w:szCs w:val="23"/>
              </w:rPr>
            </w:pPr>
            <w:r>
              <w:rPr>
                <w:rFonts w:ascii="Arial" w:hAnsi="Arial" w:cs="Arial"/>
                <w:b/>
                <w:bCs/>
                <w:color w:val="000000"/>
                <w:sz w:val="24"/>
                <w:szCs w:val="23"/>
              </w:rPr>
              <w:t>10</w:t>
            </w:r>
            <w:r w:rsidRPr="00C515FF">
              <w:rPr>
                <w:rFonts w:ascii="Arial" w:hAnsi="Arial" w:cs="Arial"/>
                <w:b/>
                <w:bCs/>
                <w:color w:val="000000"/>
                <w:sz w:val="24"/>
                <w:szCs w:val="23"/>
              </w:rPr>
              <w:t xml:space="preserve">. </w:t>
            </w:r>
            <w:r>
              <w:rPr>
                <w:rFonts w:ascii="Arial" w:hAnsi="Arial" w:cs="Arial"/>
                <w:b/>
                <w:bCs/>
                <w:color w:val="000000"/>
                <w:sz w:val="24"/>
                <w:szCs w:val="23"/>
              </w:rPr>
              <w:t xml:space="preserve">Difusión, </w:t>
            </w:r>
            <w:r w:rsidRPr="00C515FF">
              <w:rPr>
                <w:rFonts w:ascii="Arial" w:hAnsi="Arial" w:cs="Arial"/>
                <w:b/>
                <w:bCs/>
                <w:color w:val="000000"/>
                <w:sz w:val="24"/>
                <w:szCs w:val="23"/>
              </w:rPr>
              <w:t xml:space="preserve">Transparencia, Rendición de Cuentas </w:t>
            </w:r>
          </w:p>
        </w:tc>
        <w:tc>
          <w:tcPr>
            <w:tcW w:w="709" w:type="dxa"/>
            <w:vAlign w:val="center"/>
          </w:tcPr>
          <w:p w:rsidR="003A150A" w:rsidRPr="002D62D8" w:rsidRDefault="002D62D8" w:rsidP="002D62D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8"/>
                <w:szCs w:val="23"/>
              </w:rPr>
            </w:pPr>
            <w:r w:rsidRPr="002D62D8">
              <w:rPr>
                <w:rFonts w:ascii="Arial" w:hAnsi="Arial" w:cs="Arial"/>
                <w:b/>
                <w:bCs/>
                <w:color w:val="000000"/>
                <w:sz w:val="28"/>
                <w:szCs w:val="23"/>
              </w:rPr>
              <w:t>10</w:t>
            </w:r>
          </w:p>
        </w:tc>
      </w:tr>
      <w:tr w:rsidR="003A150A" w:rsidRPr="00C515FF" w:rsidTr="002D62D8">
        <w:trPr>
          <w:trHeight w:val="422"/>
        </w:trPr>
        <w:tc>
          <w:tcPr>
            <w:cnfStyle w:val="000010000000" w:firstRow="0" w:lastRow="0" w:firstColumn="0" w:lastColumn="0" w:oddVBand="1" w:evenVBand="0" w:oddHBand="0" w:evenHBand="0" w:firstRowFirstColumn="0" w:firstRowLastColumn="0" w:lastRowFirstColumn="0" w:lastRowLastColumn="0"/>
            <w:tcW w:w="7621" w:type="dxa"/>
            <w:vAlign w:val="center"/>
          </w:tcPr>
          <w:p w:rsidR="003A150A" w:rsidRPr="00A5503C" w:rsidRDefault="003A150A" w:rsidP="002D62D8">
            <w:pPr>
              <w:pStyle w:val="Default"/>
              <w:rPr>
                <w:b/>
                <w:bCs/>
              </w:rPr>
            </w:pPr>
            <w:r>
              <w:rPr>
                <w:b/>
                <w:bCs/>
              </w:rPr>
              <w:t>11</w:t>
            </w:r>
            <w:r w:rsidRPr="006932EC">
              <w:rPr>
                <w:b/>
                <w:bCs/>
              </w:rPr>
              <w:t xml:space="preserve">. Costo de las Evaluaciones </w:t>
            </w:r>
          </w:p>
        </w:tc>
        <w:tc>
          <w:tcPr>
            <w:tcW w:w="709" w:type="dxa"/>
            <w:vAlign w:val="center"/>
          </w:tcPr>
          <w:p w:rsidR="003A150A" w:rsidRPr="002D62D8" w:rsidRDefault="002D62D8" w:rsidP="002D62D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8"/>
                <w:szCs w:val="23"/>
              </w:rPr>
            </w:pPr>
            <w:r w:rsidRPr="002D62D8">
              <w:rPr>
                <w:rFonts w:ascii="Arial" w:hAnsi="Arial" w:cs="Arial"/>
                <w:b/>
                <w:bCs/>
                <w:color w:val="000000"/>
                <w:sz w:val="28"/>
                <w:szCs w:val="23"/>
              </w:rPr>
              <w:t>10</w:t>
            </w:r>
          </w:p>
        </w:tc>
      </w:tr>
      <w:tr w:rsidR="00FF5193" w:rsidRPr="00C515FF" w:rsidTr="002D62D8">
        <w:trPr>
          <w:cnfStyle w:val="000000100000" w:firstRow="0" w:lastRow="0" w:firstColumn="0" w:lastColumn="0" w:oddVBand="0" w:evenVBand="0" w:oddHBand="1" w:evenHBand="0" w:firstRowFirstColumn="0" w:firstRowLastColumn="0" w:lastRowFirstColumn="0" w:lastRowLastColumn="0"/>
          <w:trHeight w:val="541"/>
        </w:trPr>
        <w:tc>
          <w:tcPr>
            <w:cnfStyle w:val="000010000000" w:firstRow="0" w:lastRow="0" w:firstColumn="0" w:lastColumn="0" w:oddVBand="1" w:evenVBand="0" w:oddHBand="0" w:evenHBand="0" w:firstRowFirstColumn="0" w:firstRowLastColumn="0" w:lastRowFirstColumn="0" w:lastRowLastColumn="0"/>
            <w:tcW w:w="7621" w:type="dxa"/>
            <w:vAlign w:val="center"/>
          </w:tcPr>
          <w:p w:rsidR="00FF5193" w:rsidRPr="003A150A" w:rsidRDefault="00FF5193" w:rsidP="002D62D8">
            <w:pPr>
              <w:pStyle w:val="Default"/>
              <w:rPr>
                <w:szCs w:val="23"/>
                <w:highlight w:val="yellow"/>
              </w:rPr>
            </w:pPr>
            <w:r w:rsidRPr="00265C84">
              <w:rPr>
                <w:b/>
                <w:bCs/>
              </w:rPr>
              <w:t xml:space="preserve">12. </w:t>
            </w:r>
            <w:r w:rsidR="00265C84" w:rsidRPr="00265C84">
              <w:rPr>
                <w:b/>
                <w:bCs/>
              </w:rPr>
              <w:t>Cronograma de Ejecución de Evaluaciones Externas</w:t>
            </w:r>
            <w:r w:rsidRPr="00265C84">
              <w:rPr>
                <w:b/>
                <w:bCs/>
              </w:rPr>
              <w:t>.</w:t>
            </w:r>
            <w:r w:rsidRPr="003A150A">
              <w:rPr>
                <w:b/>
                <w:bCs/>
                <w:szCs w:val="23"/>
                <w:highlight w:val="yellow"/>
              </w:rPr>
              <w:t xml:space="preserve"> </w:t>
            </w:r>
          </w:p>
        </w:tc>
        <w:tc>
          <w:tcPr>
            <w:tcW w:w="709" w:type="dxa"/>
            <w:vAlign w:val="center"/>
          </w:tcPr>
          <w:p w:rsidR="00FF5193" w:rsidRPr="002D62D8" w:rsidRDefault="002D62D8" w:rsidP="002D62D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8"/>
                <w:szCs w:val="23"/>
              </w:rPr>
            </w:pPr>
            <w:r w:rsidRPr="002D62D8">
              <w:rPr>
                <w:rFonts w:ascii="Arial" w:hAnsi="Arial" w:cs="Arial"/>
                <w:b/>
                <w:bCs/>
                <w:color w:val="000000"/>
                <w:sz w:val="28"/>
                <w:szCs w:val="23"/>
              </w:rPr>
              <w:t>11</w:t>
            </w:r>
          </w:p>
        </w:tc>
      </w:tr>
    </w:tbl>
    <w:p w:rsidR="00C515FF" w:rsidRDefault="00C515FF" w:rsidP="00C515FF">
      <w:pPr>
        <w:rPr>
          <w:b/>
          <w:bCs/>
          <w:sz w:val="24"/>
          <w:szCs w:val="23"/>
        </w:rPr>
      </w:pPr>
    </w:p>
    <w:p w:rsidR="00A5503C" w:rsidRDefault="00A5503C" w:rsidP="00C515FF">
      <w:pPr>
        <w:rPr>
          <w:b/>
          <w:bCs/>
          <w:sz w:val="24"/>
          <w:szCs w:val="23"/>
        </w:rPr>
      </w:pPr>
    </w:p>
    <w:p w:rsidR="00A5503C" w:rsidRDefault="00A5503C" w:rsidP="00C515FF">
      <w:pPr>
        <w:rPr>
          <w:b/>
          <w:bCs/>
          <w:sz w:val="24"/>
          <w:szCs w:val="23"/>
        </w:rPr>
      </w:pPr>
    </w:p>
    <w:p w:rsidR="00A5503C" w:rsidRDefault="00A5503C" w:rsidP="00C515FF">
      <w:pPr>
        <w:rPr>
          <w:b/>
          <w:bCs/>
          <w:sz w:val="24"/>
          <w:szCs w:val="23"/>
        </w:rPr>
      </w:pPr>
    </w:p>
    <w:p w:rsidR="00A5503C" w:rsidRDefault="00A5503C" w:rsidP="00C515FF">
      <w:pPr>
        <w:rPr>
          <w:b/>
          <w:bCs/>
          <w:sz w:val="24"/>
          <w:szCs w:val="23"/>
        </w:rPr>
      </w:pPr>
    </w:p>
    <w:p w:rsidR="00A5503C" w:rsidRDefault="00A5503C" w:rsidP="00C515FF">
      <w:pPr>
        <w:rPr>
          <w:b/>
          <w:bCs/>
          <w:sz w:val="24"/>
          <w:szCs w:val="23"/>
        </w:rPr>
      </w:pPr>
    </w:p>
    <w:p w:rsidR="00A5503C" w:rsidRDefault="00A5503C" w:rsidP="00C515FF">
      <w:pPr>
        <w:rPr>
          <w:b/>
          <w:bCs/>
          <w:sz w:val="24"/>
          <w:szCs w:val="23"/>
        </w:rPr>
      </w:pPr>
    </w:p>
    <w:p w:rsidR="00A5503C" w:rsidRDefault="00A5503C" w:rsidP="00C515FF">
      <w:pPr>
        <w:rPr>
          <w:b/>
          <w:bCs/>
          <w:sz w:val="24"/>
          <w:szCs w:val="23"/>
        </w:rPr>
      </w:pPr>
    </w:p>
    <w:p w:rsidR="00FF5193" w:rsidRPr="006932EC" w:rsidRDefault="00FF5193" w:rsidP="00C75CB2">
      <w:pPr>
        <w:pStyle w:val="Default"/>
        <w:numPr>
          <w:ilvl w:val="0"/>
          <w:numId w:val="12"/>
        </w:numPr>
        <w:ind w:left="284" w:hanging="284"/>
        <w:rPr>
          <w:b/>
          <w:bCs/>
        </w:rPr>
      </w:pPr>
      <w:r w:rsidRPr="006932EC">
        <w:rPr>
          <w:b/>
          <w:bCs/>
        </w:rPr>
        <w:lastRenderedPageBreak/>
        <w:t xml:space="preserve">Marco Jurídico </w:t>
      </w:r>
    </w:p>
    <w:p w:rsidR="00C75CB2" w:rsidRPr="00C75CB2" w:rsidRDefault="00C75CB2" w:rsidP="00C75CB2">
      <w:pPr>
        <w:pStyle w:val="Default"/>
        <w:rPr>
          <w:b/>
          <w:bCs/>
          <w:sz w:val="23"/>
          <w:szCs w:val="23"/>
        </w:rPr>
      </w:pPr>
    </w:p>
    <w:p w:rsidR="00FF5193" w:rsidRDefault="00C75CB2" w:rsidP="00C75CB2">
      <w:pPr>
        <w:pStyle w:val="Default"/>
        <w:tabs>
          <w:tab w:val="left" w:pos="1276"/>
        </w:tabs>
        <w:jc w:val="both"/>
        <w:rPr>
          <w:sz w:val="22"/>
          <w:szCs w:val="22"/>
        </w:rPr>
      </w:pPr>
      <w:r>
        <w:rPr>
          <w:sz w:val="22"/>
          <w:szCs w:val="22"/>
        </w:rPr>
        <w:t>El presente Programa A</w:t>
      </w:r>
      <w:r w:rsidR="00A5503C">
        <w:rPr>
          <w:sz w:val="22"/>
          <w:szCs w:val="22"/>
        </w:rPr>
        <w:t>nual de Evaluación (PAE)</w:t>
      </w:r>
      <w:r w:rsidR="001A3094">
        <w:rPr>
          <w:sz w:val="22"/>
          <w:szCs w:val="22"/>
        </w:rPr>
        <w:t xml:space="preserve"> 2014 </w:t>
      </w:r>
      <w:r w:rsidR="00A5503C">
        <w:rPr>
          <w:sz w:val="22"/>
          <w:szCs w:val="22"/>
        </w:rPr>
        <w:t>de los</w:t>
      </w:r>
      <w:r w:rsidR="006932EC">
        <w:rPr>
          <w:sz w:val="22"/>
          <w:szCs w:val="22"/>
        </w:rPr>
        <w:t xml:space="preserve"> </w:t>
      </w:r>
      <w:r>
        <w:rPr>
          <w:sz w:val="22"/>
          <w:szCs w:val="22"/>
        </w:rPr>
        <w:t xml:space="preserve">Programas Presupuestales (Pp) </w:t>
      </w:r>
      <w:r w:rsidR="006932EC">
        <w:rPr>
          <w:sz w:val="22"/>
          <w:szCs w:val="22"/>
        </w:rPr>
        <w:t>d</w:t>
      </w:r>
      <w:r>
        <w:rPr>
          <w:sz w:val="22"/>
          <w:szCs w:val="22"/>
        </w:rPr>
        <w:t>el Presupuesto de Egresos del Gobierno del Estado de Nayar</w:t>
      </w:r>
      <w:r w:rsidR="008269EC">
        <w:rPr>
          <w:sz w:val="22"/>
          <w:szCs w:val="22"/>
        </w:rPr>
        <w:t>it del ejercicio Fiscal 2013</w:t>
      </w:r>
      <w:r>
        <w:rPr>
          <w:sz w:val="22"/>
          <w:szCs w:val="22"/>
        </w:rPr>
        <w:t xml:space="preserve">, </w:t>
      </w:r>
      <w:r w:rsidR="006932EC">
        <w:rPr>
          <w:sz w:val="22"/>
          <w:szCs w:val="22"/>
        </w:rPr>
        <w:t>es emitido</w:t>
      </w:r>
      <w:r>
        <w:rPr>
          <w:sz w:val="22"/>
          <w:szCs w:val="22"/>
        </w:rPr>
        <w:t xml:space="preserve"> c</w:t>
      </w:r>
      <w:r w:rsidR="00FF5193">
        <w:rPr>
          <w:sz w:val="22"/>
          <w:szCs w:val="22"/>
        </w:rPr>
        <w:t xml:space="preserve">on </w:t>
      </w:r>
      <w:r>
        <w:rPr>
          <w:sz w:val="22"/>
          <w:szCs w:val="22"/>
        </w:rPr>
        <w:t>base</w:t>
      </w:r>
      <w:r w:rsidR="00FF5193">
        <w:rPr>
          <w:sz w:val="22"/>
          <w:szCs w:val="22"/>
        </w:rPr>
        <w:t xml:space="preserve"> en los sig</w:t>
      </w:r>
      <w:r w:rsidR="007511BB">
        <w:rPr>
          <w:sz w:val="22"/>
          <w:szCs w:val="22"/>
        </w:rPr>
        <w:t>uientes fundamentos jurídicos</w:t>
      </w:r>
      <w:r w:rsidR="006932EC">
        <w:rPr>
          <w:sz w:val="22"/>
          <w:szCs w:val="22"/>
        </w:rPr>
        <w:t xml:space="preserve"> </w:t>
      </w:r>
      <w:r w:rsidR="006932EC" w:rsidRPr="006932EC">
        <w:rPr>
          <w:i/>
          <w:sz w:val="22"/>
          <w:szCs w:val="22"/>
        </w:rPr>
        <w:t>federales y estatales</w:t>
      </w:r>
      <w:r w:rsidR="006932EC">
        <w:rPr>
          <w:sz w:val="22"/>
          <w:szCs w:val="22"/>
        </w:rPr>
        <w:t>:</w:t>
      </w:r>
    </w:p>
    <w:p w:rsidR="007511BB" w:rsidRDefault="007511BB" w:rsidP="00C75CB2">
      <w:pPr>
        <w:pStyle w:val="Default"/>
        <w:tabs>
          <w:tab w:val="left" w:pos="1276"/>
        </w:tabs>
        <w:jc w:val="both"/>
        <w:rPr>
          <w:sz w:val="22"/>
          <w:szCs w:val="22"/>
        </w:rPr>
      </w:pPr>
    </w:p>
    <w:p w:rsidR="007511BB" w:rsidRPr="006932EC" w:rsidRDefault="007511BB" w:rsidP="006932EC">
      <w:pPr>
        <w:pStyle w:val="Default"/>
        <w:spacing w:after="27"/>
        <w:rPr>
          <w:i/>
          <w:iCs/>
          <w:sz w:val="22"/>
          <w:szCs w:val="22"/>
        </w:rPr>
      </w:pPr>
      <w:r w:rsidRPr="006932EC">
        <w:rPr>
          <w:i/>
          <w:iCs/>
          <w:sz w:val="22"/>
          <w:szCs w:val="22"/>
        </w:rPr>
        <w:t>FEDERAL</w:t>
      </w:r>
      <w:r w:rsidR="006932EC">
        <w:rPr>
          <w:i/>
          <w:iCs/>
          <w:sz w:val="22"/>
          <w:szCs w:val="22"/>
        </w:rPr>
        <w:t>ES</w:t>
      </w:r>
    </w:p>
    <w:p w:rsidR="00FF5193" w:rsidRPr="00C515FF" w:rsidRDefault="00FF5193" w:rsidP="00C515FF">
      <w:pPr>
        <w:pStyle w:val="Default"/>
        <w:numPr>
          <w:ilvl w:val="0"/>
          <w:numId w:val="1"/>
        </w:numPr>
        <w:tabs>
          <w:tab w:val="left" w:pos="284"/>
        </w:tabs>
        <w:spacing w:after="27"/>
        <w:ind w:left="284" w:hanging="284"/>
        <w:rPr>
          <w:i/>
          <w:iCs/>
          <w:sz w:val="22"/>
          <w:szCs w:val="22"/>
        </w:rPr>
      </w:pPr>
      <w:r>
        <w:rPr>
          <w:i/>
          <w:iCs/>
          <w:sz w:val="22"/>
          <w:szCs w:val="22"/>
        </w:rPr>
        <w:t>Constitución Política de los Est</w:t>
      </w:r>
      <w:r w:rsidR="00C515FF">
        <w:rPr>
          <w:i/>
          <w:iCs/>
          <w:sz w:val="22"/>
          <w:szCs w:val="22"/>
        </w:rPr>
        <w:t>ados Unidos en su artículo 134.</w:t>
      </w:r>
    </w:p>
    <w:p w:rsidR="00FF5193" w:rsidRPr="00C515FF" w:rsidRDefault="00FF5193" w:rsidP="00C515FF">
      <w:pPr>
        <w:pStyle w:val="Default"/>
        <w:numPr>
          <w:ilvl w:val="0"/>
          <w:numId w:val="1"/>
        </w:numPr>
        <w:tabs>
          <w:tab w:val="left" w:pos="284"/>
        </w:tabs>
        <w:spacing w:after="27"/>
        <w:ind w:left="284" w:hanging="284"/>
        <w:rPr>
          <w:i/>
          <w:iCs/>
          <w:sz w:val="22"/>
          <w:szCs w:val="22"/>
        </w:rPr>
      </w:pPr>
      <w:r>
        <w:rPr>
          <w:i/>
          <w:iCs/>
          <w:sz w:val="22"/>
          <w:szCs w:val="22"/>
        </w:rPr>
        <w:t>Ley General de Contabilidad Gubernamental, Capítulo V</w:t>
      </w:r>
      <w:r w:rsidR="00C515FF">
        <w:rPr>
          <w:i/>
          <w:iCs/>
          <w:sz w:val="22"/>
          <w:szCs w:val="22"/>
        </w:rPr>
        <w:t>: Artículo 79.</w:t>
      </w:r>
    </w:p>
    <w:p w:rsidR="00FF5193" w:rsidRDefault="00FF5193" w:rsidP="00C515FF">
      <w:pPr>
        <w:pStyle w:val="Default"/>
        <w:numPr>
          <w:ilvl w:val="0"/>
          <w:numId w:val="1"/>
        </w:numPr>
        <w:tabs>
          <w:tab w:val="left" w:pos="284"/>
        </w:tabs>
        <w:spacing w:after="27"/>
        <w:ind w:left="284" w:hanging="284"/>
        <w:rPr>
          <w:i/>
          <w:iCs/>
          <w:sz w:val="22"/>
          <w:szCs w:val="22"/>
        </w:rPr>
      </w:pPr>
      <w:r>
        <w:rPr>
          <w:i/>
          <w:iCs/>
          <w:sz w:val="22"/>
          <w:szCs w:val="22"/>
        </w:rPr>
        <w:t>Ley Federal de Presupuesto y Responsabilidad Hacen</w:t>
      </w:r>
      <w:r w:rsidR="00C515FF">
        <w:rPr>
          <w:i/>
          <w:iCs/>
          <w:sz w:val="22"/>
          <w:szCs w:val="22"/>
        </w:rPr>
        <w:t>daria, en el artículo 85 y 110.</w:t>
      </w:r>
    </w:p>
    <w:p w:rsidR="00C515FF" w:rsidRDefault="00477F1D" w:rsidP="00C515FF">
      <w:pPr>
        <w:pStyle w:val="Default"/>
        <w:numPr>
          <w:ilvl w:val="0"/>
          <w:numId w:val="1"/>
        </w:numPr>
        <w:tabs>
          <w:tab w:val="left" w:pos="284"/>
        </w:tabs>
        <w:spacing w:after="27"/>
        <w:ind w:left="284" w:hanging="284"/>
        <w:rPr>
          <w:i/>
          <w:iCs/>
          <w:sz w:val="22"/>
          <w:szCs w:val="22"/>
        </w:rPr>
      </w:pPr>
      <w:r>
        <w:rPr>
          <w:i/>
          <w:iCs/>
          <w:sz w:val="22"/>
          <w:szCs w:val="22"/>
        </w:rPr>
        <w:t xml:space="preserve">Decreto del </w:t>
      </w:r>
      <w:r w:rsidR="00C515FF">
        <w:rPr>
          <w:i/>
          <w:iCs/>
          <w:sz w:val="22"/>
          <w:szCs w:val="22"/>
        </w:rPr>
        <w:t xml:space="preserve">Presupuesto de Egresos de la Federación 2014, artículos </w:t>
      </w:r>
      <w:r>
        <w:rPr>
          <w:i/>
          <w:iCs/>
          <w:sz w:val="22"/>
          <w:szCs w:val="22"/>
        </w:rPr>
        <w:t>1 y 29</w:t>
      </w:r>
      <w:r w:rsidR="00C515FF">
        <w:rPr>
          <w:i/>
          <w:iCs/>
          <w:sz w:val="22"/>
          <w:szCs w:val="22"/>
        </w:rPr>
        <w:t>.</w:t>
      </w:r>
    </w:p>
    <w:p w:rsidR="00C515FF" w:rsidRDefault="00C515FF" w:rsidP="00C515FF">
      <w:pPr>
        <w:pStyle w:val="Default"/>
        <w:numPr>
          <w:ilvl w:val="0"/>
          <w:numId w:val="1"/>
        </w:numPr>
        <w:tabs>
          <w:tab w:val="left" w:pos="284"/>
        </w:tabs>
        <w:ind w:left="284" w:hanging="284"/>
        <w:rPr>
          <w:sz w:val="22"/>
          <w:szCs w:val="22"/>
        </w:rPr>
      </w:pPr>
      <w:r>
        <w:rPr>
          <w:i/>
          <w:iCs/>
          <w:sz w:val="22"/>
          <w:szCs w:val="22"/>
        </w:rPr>
        <w:t>Lineamientos Generales para la Evaluación de los Programas Federales de la Administración Pública Federal.</w:t>
      </w:r>
    </w:p>
    <w:p w:rsidR="00C515FF" w:rsidRDefault="00C515FF" w:rsidP="00C515FF">
      <w:pPr>
        <w:pStyle w:val="Default"/>
        <w:spacing w:after="27"/>
        <w:ind w:left="1428"/>
        <w:rPr>
          <w:i/>
          <w:iCs/>
          <w:sz w:val="22"/>
          <w:szCs w:val="22"/>
        </w:rPr>
      </w:pPr>
    </w:p>
    <w:p w:rsidR="007511BB" w:rsidRDefault="007511BB" w:rsidP="007511BB">
      <w:pPr>
        <w:pStyle w:val="Default"/>
        <w:spacing w:after="27"/>
        <w:rPr>
          <w:sz w:val="22"/>
          <w:szCs w:val="22"/>
        </w:rPr>
      </w:pPr>
      <w:r>
        <w:rPr>
          <w:i/>
          <w:iCs/>
          <w:sz w:val="22"/>
          <w:szCs w:val="22"/>
        </w:rPr>
        <w:t>ESTATAL</w:t>
      </w:r>
      <w:r w:rsidR="006932EC">
        <w:rPr>
          <w:i/>
          <w:iCs/>
          <w:sz w:val="22"/>
          <w:szCs w:val="22"/>
        </w:rPr>
        <w:t>ES</w:t>
      </w:r>
    </w:p>
    <w:p w:rsidR="00C515FF" w:rsidRPr="00C515FF" w:rsidRDefault="00C515FF" w:rsidP="00C515FF">
      <w:pPr>
        <w:pStyle w:val="Default"/>
        <w:numPr>
          <w:ilvl w:val="0"/>
          <w:numId w:val="1"/>
        </w:numPr>
        <w:tabs>
          <w:tab w:val="left" w:pos="284"/>
        </w:tabs>
        <w:spacing w:after="27"/>
        <w:ind w:left="284" w:hanging="284"/>
        <w:rPr>
          <w:sz w:val="22"/>
          <w:szCs w:val="22"/>
        </w:rPr>
      </w:pPr>
      <w:r>
        <w:rPr>
          <w:i/>
          <w:iCs/>
          <w:sz w:val="22"/>
          <w:szCs w:val="22"/>
        </w:rPr>
        <w:t xml:space="preserve">Constitución Política del Estado Libre y Soberano de Nayarit, artículo 133. </w:t>
      </w:r>
    </w:p>
    <w:p w:rsidR="00C515FF" w:rsidRPr="00C515FF" w:rsidRDefault="00C515FF" w:rsidP="00C515FF">
      <w:pPr>
        <w:pStyle w:val="Default"/>
        <w:numPr>
          <w:ilvl w:val="0"/>
          <w:numId w:val="1"/>
        </w:numPr>
        <w:tabs>
          <w:tab w:val="left" w:pos="284"/>
        </w:tabs>
        <w:spacing w:after="27"/>
        <w:ind w:left="284" w:hanging="284"/>
        <w:rPr>
          <w:i/>
          <w:iCs/>
          <w:sz w:val="22"/>
          <w:szCs w:val="22"/>
        </w:rPr>
      </w:pPr>
      <w:r>
        <w:rPr>
          <w:i/>
          <w:iCs/>
          <w:sz w:val="22"/>
          <w:szCs w:val="22"/>
        </w:rPr>
        <w:t>Ley Orgánica del Poder Ejecutivo del Estado.</w:t>
      </w:r>
    </w:p>
    <w:p w:rsidR="00C515FF" w:rsidRDefault="00C515FF" w:rsidP="00C515FF">
      <w:pPr>
        <w:pStyle w:val="Default"/>
        <w:numPr>
          <w:ilvl w:val="0"/>
          <w:numId w:val="1"/>
        </w:numPr>
        <w:tabs>
          <w:tab w:val="left" w:pos="284"/>
        </w:tabs>
        <w:spacing w:after="27"/>
        <w:ind w:left="284" w:hanging="284"/>
        <w:rPr>
          <w:sz w:val="22"/>
          <w:szCs w:val="22"/>
        </w:rPr>
      </w:pPr>
      <w:r>
        <w:rPr>
          <w:i/>
          <w:iCs/>
          <w:sz w:val="22"/>
          <w:szCs w:val="22"/>
        </w:rPr>
        <w:t xml:space="preserve">Ley de Planeación del Estado de Nayarit, en su artículo 12, fracción I y artículo 14. </w:t>
      </w:r>
    </w:p>
    <w:p w:rsidR="00FF5193" w:rsidRDefault="00FF5193" w:rsidP="00C515FF">
      <w:pPr>
        <w:pStyle w:val="Default"/>
        <w:numPr>
          <w:ilvl w:val="0"/>
          <w:numId w:val="1"/>
        </w:numPr>
        <w:tabs>
          <w:tab w:val="left" w:pos="284"/>
        </w:tabs>
        <w:spacing w:after="27"/>
        <w:ind w:left="284" w:hanging="284"/>
        <w:rPr>
          <w:sz w:val="22"/>
          <w:szCs w:val="22"/>
        </w:rPr>
      </w:pPr>
      <w:r>
        <w:rPr>
          <w:i/>
          <w:iCs/>
          <w:sz w:val="22"/>
          <w:szCs w:val="22"/>
        </w:rPr>
        <w:t>Ley de Presupuestación, Contabilidad y Gasto Público de la Administración del Gobierno del Estado de Nayarit</w:t>
      </w:r>
      <w:r w:rsidR="00C515FF">
        <w:rPr>
          <w:i/>
          <w:iCs/>
          <w:sz w:val="22"/>
          <w:szCs w:val="22"/>
        </w:rPr>
        <w:t>, artículo 44 y 45.</w:t>
      </w:r>
    </w:p>
    <w:p w:rsidR="00FF5193" w:rsidRDefault="00FF5193" w:rsidP="00C515FF">
      <w:pPr>
        <w:pStyle w:val="Default"/>
        <w:numPr>
          <w:ilvl w:val="0"/>
          <w:numId w:val="1"/>
        </w:numPr>
        <w:tabs>
          <w:tab w:val="left" w:pos="284"/>
        </w:tabs>
        <w:spacing w:after="27"/>
        <w:ind w:left="284" w:hanging="284"/>
        <w:rPr>
          <w:sz w:val="22"/>
          <w:szCs w:val="22"/>
        </w:rPr>
      </w:pPr>
      <w:r>
        <w:rPr>
          <w:i/>
          <w:iCs/>
          <w:sz w:val="22"/>
          <w:szCs w:val="22"/>
        </w:rPr>
        <w:t xml:space="preserve">Ley de Transparencia y Acceso a la información Pública del Estado de Nayarit </w:t>
      </w:r>
      <w:r w:rsidR="00C515FF">
        <w:rPr>
          <w:i/>
          <w:iCs/>
          <w:sz w:val="22"/>
          <w:szCs w:val="22"/>
        </w:rPr>
        <w:t>artículos 2, 6, 10, 11, 12 y 14.</w:t>
      </w:r>
    </w:p>
    <w:p w:rsidR="00FF5193" w:rsidRPr="00D169CC" w:rsidRDefault="00FF5193" w:rsidP="00C515FF">
      <w:pPr>
        <w:pStyle w:val="Default"/>
        <w:numPr>
          <w:ilvl w:val="0"/>
          <w:numId w:val="1"/>
        </w:numPr>
        <w:tabs>
          <w:tab w:val="left" w:pos="284"/>
        </w:tabs>
        <w:spacing w:after="27"/>
        <w:ind w:left="284" w:hanging="284"/>
        <w:rPr>
          <w:sz w:val="22"/>
          <w:szCs w:val="22"/>
        </w:rPr>
      </w:pPr>
      <w:r>
        <w:rPr>
          <w:i/>
          <w:iCs/>
          <w:sz w:val="22"/>
          <w:szCs w:val="22"/>
        </w:rPr>
        <w:t>Presup</w:t>
      </w:r>
      <w:r w:rsidR="00C515FF">
        <w:rPr>
          <w:i/>
          <w:iCs/>
          <w:sz w:val="22"/>
          <w:szCs w:val="22"/>
        </w:rPr>
        <w:t>uesto de Egresos del Estado 2014</w:t>
      </w:r>
      <w:r>
        <w:rPr>
          <w:i/>
          <w:iCs/>
          <w:sz w:val="22"/>
          <w:szCs w:val="22"/>
        </w:rPr>
        <w:t xml:space="preserve">; artículo </w:t>
      </w:r>
      <w:r w:rsidR="00C515FF">
        <w:rPr>
          <w:i/>
          <w:iCs/>
          <w:sz w:val="22"/>
          <w:szCs w:val="22"/>
        </w:rPr>
        <w:t>70 al 79.</w:t>
      </w:r>
    </w:p>
    <w:p w:rsidR="00FF5193" w:rsidRPr="002D62D8" w:rsidRDefault="00D169CC" w:rsidP="00F60B0E">
      <w:pPr>
        <w:pStyle w:val="Default"/>
        <w:numPr>
          <w:ilvl w:val="0"/>
          <w:numId w:val="1"/>
        </w:numPr>
        <w:tabs>
          <w:tab w:val="left" w:pos="284"/>
        </w:tabs>
        <w:spacing w:after="27"/>
        <w:ind w:left="284" w:hanging="284"/>
        <w:rPr>
          <w:i/>
          <w:iCs/>
          <w:sz w:val="22"/>
          <w:szCs w:val="22"/>
        </w:rPr>
      </w:pPr>
      <w:r w:rsidRPr="002D62D8">
        <w:rPr>
          <w:i/>
          <w:iCs/>
          <w:sz w:val="22"/>
          <w:szCs w:val="22"/>
        </w:rPr>
        <w:t>Plan Estatal de Desarrollo 2011-2017</w:t>
      </w:r>
      <w:r w:rsidR="008A736E" w:rsidRPr="002D62D8">
        <w:rPr>
          <w:i/>
          <w:iCs/>
          <w:sz w:val="22"/>
          <w:szCs w:val="22"/>
        </w:rPr>
        <w:t xml:space="preserve"> y </w:t>
      </w:r>
      <w:hyperlink r:id="rId9" w:tgtFrame="_blank" w:history="1">
        <w:r w:rsidR="008A736E" w:rsidRPr="002D62D8">
          <w:rPr>
            <w:i/>
            <w:iCs/>
            <w:sz w:val="22"/>
            <w:szCs w:val="22"/>
          </w:rPr>
          <w:t>Programa de Modernización de la Administración Pública Estatal</w:t>
        </w:r>
      </w:hyperlink>
      <w:r w:rsidR="002D62D8" w:rsidRPr="002D62D8">
        <w:rPr>
          <w:i/>
          <w:iCs/>
          <w:sz w:val="22"/>
          <w:szCs w:val="22"/>
        </w:rPr>
        <w:t xml:space="preserve"> (Clave de línea de acción 1GP02E1L5)</w:t>
      </w:r>
    </w:p>
    <w:p w:rsidR="008A736E" w:rsidRPr="008A736E" w:rsidRDefault="008A736E" w:rsidP="008A736E">
      <w:pPr>
        <w:pStyle w:val="Default"/>
        <w:tabs>
          <w:tab w:val="left" w:pos="284"/>
        </w:tabs>
        <w:spacing w:after="27"/>
        <w:ind w:left="284"/>
        <w:rPr>
          <w:i/>
          <w:iCs/>
          <w:sz w:val="22"/>
          <w:szCs w:val="22"/>
          <w:highlight w:val="yellow"/>
        </w:rPr>
      </w:pPr>
    </w:p>
    <w:p w:rsidR="00FF5193" w:rsidRDefault="00A5503C" w:rsidP="00C515FF">
      <w:pPr>
        <w:pStyle w:val="Default"/>
        <w:tabs>
          <w:tab w:val="left" w:pos="1276"/>
        </w:tabs>
        <w:jc w:val="both"/>
        <w:rPr>
          <w:sz w:val="22"/>
          <w:szCs w:val="22"/>
        </w:rPr>
      </w:pPr>
      <w:r>
        <w:rPr>
          <w:sz w:val="22"/>
          <w:szCs w:val="22"/>
        </w:rPr>
        <w:t>Cabe mencionar que e</w:t>
      </w:r>
      <w:r w:rsidR="00C75CB2">
        <w:rPr>
          <w:sz w:val="22"/>
          <w:szCs w:val="22"/>
        </w:rPr>
        <w:t xml:space="preserve">l PAE </w:t>
      </w:r>
      <w:r w:rsidR="006932EC">
        <w:rPr>
          <w:sz w:val="22"/>
          <w:szCs w:val="22"/>
        </w:rPr>
        <w:t>define</w:t>
      </w:r>
      <w:r w:rsidR="00FF5193">
        <w:rPr>
          <w:sz w:val="22"/>
          <w:szCs w:val="22"/>
        </w:rPr>
        <w:t xml:space="preserve"> qué evaluacion</w:t>
      </w:r>
      <w:r w:rsidR="00C515FF">
        <w:rPr>
          <w:sz w:val="22"/>
          <w:szCs w:val="22"/>
        </w:rPr>
        <w:t xml:space="preserve">es </w:t>
      </w:r>
      <w:r w:rsidR="000A6D1E">
        <w:rPr>
          <w:sz w:val="22"/>
          <w:szCs w:val="22"/>
        </w:rPr>
        <w:t xml:space="preserve">y bajo que lineamientos generales </w:t>
      </w:r>
      <w:r w:rsidR="00C515FF">
        <w:rPr>
          <w:sz w:val="22"/>
          <w:szCs w:val="22"/>
        </w:rPr>
        <w:t>se llevarán a cabo o iniciará</w:t>
      </w:r>
      <w:r w:rsidR="006932EC">
        <w:rPr>
          <w:sz w:val="22"/>
          <w:szCs w:val="22"/>
        </w:rPr>
        <w:t>n en el</w:t>
      </w:r>
      <w:r w:rsidR="00FF5193">
        <w:rPr>
          <w:sz w:val="22"/>
          <w:szCs w:val="22"/>
        </w:rPr>
        <w:t xml:space="preserve"> ejercicio fiscal</w:t>
      </w:r>
      <w:r w:rsidR="00C75CB2">
        <w:rPr>
          <w:sz w:val="22"/>
          <w:szCs w:val="22"/>
        </w:rPr>
        <w:t xml:space="preserve"> y a que</w:t>
      </w:r>
      <w:r w:rsidR="006932EC">
        <w:rPr>
          <w:sz w:val="22"/>
          <w:szCs w:val="22"/>
        </w:rPr>
        <w:t xml:space="preserve"> Pp</w:t>
      </w:r>
      <w:r w:rsidR="00C75CB2">
        <w:rPr>
          <w:sz w:val="22"/>
          <w:szCs w:val="22"/>
        </w:rPr>
        <w:t xml:space="preserve"> se aplicarán.</w:t>
      </w:r>
    </w:p>
    <w:p w:rsidR="00C515FF" w:rsidRPr="00C75CB2" w:rsidRDefault="00C515FF" w:rsidP="00C75CB2">
      <w:pPr>
        <w:rPr>
          <w:b/>
          <w:bCs/>
          <w:sz w:val="24"/>
          <w:szCs w:val="23"/>
        </w:rPr>
      </w:pPr>
    </w:p>
    <w:p w:rsidR="00FF5193" w:rsidRPr="006932EC" w:rsidRDefault="00FF5193" w:rsidP="00FF5193">
      <w:pPr>
        <w:pStyle w:val="Default"/>
      </w:pPr>
      <w:r w:rsidRPr="006932EC">
        <w:rPr>
          <w:b/>
          <w:bCs/>
        </w:rPr>
        <w:t>2. O</w:t>
      </w:r>
      <w:r w:rsidR="00DA7248">
        <w:rPr>
          <w:b/>
          <w:bCs/>
        </w:rPr>
        <w:t>bjetivos del Programa Anual de E</w:t>
      </w:r>
      <w:r w:rsidRPr="006932EC">
        <w:rPr>
          <w:b/>
          <w:bCs/>
        </w:rPr>
        <w:t>valuación</w:t>
      </w:r>
      <w:r w:rsidR="00DA7248">
        <w:rPr>
          <w:b/>
          <w:bCs/>
        </w:rPr>
        <w:t xml:space="preserve"> (PAE)</w:t>
      </w:r>
      <w:r w:rsidRPr="006932EC">
        <w:rPr>
          <w:b/>
          <w:bCs/>
        </w:rPr>
        <w:t xml:space="preserve">.- </w:t>
      </w:r>
    </w:p>
    <w:p w:rsidR="00FF5193" w:rsidRDefault="00FF5193" w:rsidP="00FF5193">
      <w:pPr>
        <w:pStyle w:val="Default"/>
        <w:rPr>
          <w:sz w:val="23"/>
          <w:szCs w:val="23"/>
        </w:rPr>
      </w:pPr>
    </w:p>
    <w:p w:rsidR="00FF5193" w:rsidRDefault="00FF5193" w:rsidP="00FF5193">
      <w:pPr>
        <w:pStyle w:val="Default"/>
        <w:rPr>
          <w:sz w:val="22"/>
          <w:szCs w:val="22"/>
        </w:rPr>
      </w:pPr>
      <w:r>
        <w:rPr>
          <w:sz w:val="22"/>
          <w:szCs w:val="22"/>
        </w:rPr>
        <w:t xml:space="preserve">El </w:t>
      </w:r>
      <w:r w:rsidR="006932EC">
        <w:rPr>
          <w:sz w:val="22"/>
          <w:szCs w:val="22"/>
        </w:rPr>
        <w:t>PAE</w:t>
      </w:r>
      <w:r>
        <w:rPr>
          <w:sz w:val="22"/>
          <w:szCs w:val="22"/>
        </w:rPr>
        <w:t xml:space="preserve"> tiene como objetivos: </w:t>
      </w:r>
    </w:p>
    <w:p w:rsidR="004A26D1" w:rsidRDefault="004A26D1" w:rsidP="00FF5193">
      <w:pPr>
        <w:pStyle w:val="Default"/>
        <w:rPr>
          <w:sz w:val="22"/>
          <w:szCs w:val="22"/>
        </w:rPr>
      </w:pPr>
    </w:p>
    <w:p w:rsidR="00FF5193" w:rsidRDefault="00FF5193" w:rsidP="00B835AF">
      <w:pPr>
        <w:pStyle w:val="Default"/>
        <w:spacing w:after="134"/>
        <w:jc w:val="both"/>
        <w:rPr>
          <w:sz w:val="22"/>
          <w:szCs w:val="22"/>
        </w:rPr>
      </w:pPr>
      <w:r>
        <w:rPr>
          <w:sz w:val="22"/>
          <w:szCs w:val="22"/>
        </w:rPr>
        <w:t>a) Determinar, los Tipos de evaluación que se aplicarán a los programas presupuestarios, como parte de un proceso integral, gradual y útil para apoyar las decisiones en materia presupuestal1</w:t>
      </w:r>
      <w:r w:rsidR="004A26D1">
        <w:rPr>
          <w:rStyle w:val="Refdenotaalpie"/>
          <w:sz w:val="22"/>
          <w:szCs w:val="22"/>
        </w:rPr>
        <w:footnoteReference w:id="1"/>
      </w:r>
      <w:r>
        <w:rPr>
          <w:sz w:val="22"/>
          <w:szCs w:val="22"/>
        </w:rPr>
        <w:t xml:space="preserve">; </w:t>
      </w:r>
    </w:p>
    <w:p w:rsidR="00FF5193" w:rsidRDefault="00FF5193" w:rsidP="00B835AF">
      <w:pPr>
        <w:pStyle w:val="Default"/>
        <w:spacing w:after="134"/>
        <w:jc w:val="both"/>
        <w:rPr>
          <w:sz w:val="22"/>
          <w:szCs w:val="22"/>
        </w:rPr>
      </w:pPr>
      <w:r>
        <w:rPr>
          <w:sz w:val="22"/>
          <w:szCs w:val="22"/>
        </w:rPr>
        <w:t>b) Establecer el calendario de ejecución de los programas presupuestarios en operación durante el ejercicio fiscal 201</w:t>
      </w:r>
      <w:r w:rsidR="004A26D1">
        <w:rPr>
          <w:sz w:val="22"/>
          <w:szCs w:val="22"/>
        </w:rPr>
        <w:t>4</w:t>
      </w:r>
      <w:r>
        <w:rPr>
          <w:sz w:val="22"/>
          <w:szCs w:val="22"/>
        </w:rPr>
        <w:t xml:space="preserve">. </w:t>
      </w:r>
    </w:p>
    <w:p w:rsidR="00FF5193" w:rsidRDefault="00FF5193" w:rsidP="00B835AF">
      <w:pPr>
        <w:pStyle w:val="Default"/>
        <w:spacing w:after="134"/>
        <w:jc w:val="both"/>
        <w:rPr>
          <w:sz w:val="22"/>
          <w:szCs w:val="22"/>
        </w:rPr>
      </w:pPr>
      <w:r>
        <w:rPr>
          <w:sz w:val="22"/>
          <w:szCs w:val="22"/>
        </w:rPr>
        <w:t>c) Vincular el calendario de ejecución de las evaluaciones con el calendario de actividades de la programación y presupuestación para el ejercicio fiscal 201</w:t>
      </w:r>
      <w:r w:rsidR="004A26D1">
        <w:rPr>
          <w:sz w:val="22"/>
          <w:szCs w:val="22"/>
        </w:rPr>
        <w:t>4</w:t>
      </w:r>
      <w:r>
        <w:rPr>
          <w:sz w:val="22"/>
          <w:szCs w:val="22"/>
        </w:rPr>
        <w:t xml:space="preserve">. </w:t>
      </w:r>
    </w:p>
    <w:p w:rsidR="00FF5193" w:rsidRDefault="00FF5193" w:rsidP="00B835AF">
      <w:pPr>
        <w:pStyle w:val="Default"/>
        <w:jc w:val="both"/>
        <w:rPr>
          <w:sz w:val="22"/>
          <w:szCs w:val="22"/>
        </w:rPr>
      </w:pPr>
      <w:r>
        <w:rPr>
          <w:sz w:val="22"/>
          <w:szCs w:val="22"/>
        </w:rPr>
        <w:t xml:space="preserve">d) Articular los resultados de las evaluaciones de los programas presupuestarios como elemento relevante del Presupuesto Basado en Resultados y del Sistema de Evaluación del Desempeño. </w:t>
      </w:r>
    </w:p>
    <w:p w:rsidR="00B835AF" w:rsidRDefault="00B835AF" w:rsidP="00FF5193">
      <w:pPr>
        <w:pStyle w:val="Default"/>
        <w:rPr>
          <w:b/>
          <w:bCs/>
          <w:sz w:val="23"/>
          <w:szCs w:val="23"/>
        </w:rPr>
      </w:pPr>
    </w:p>
    <w:p w:rsidR="00FF5193" w:rsidRPr="006932EC" w:rsidRDefault="00FF5193" w:rsidP="00FF5193">
      <w:pPr>
        <w:pStyle w:val="Default"/>
        <w:rPr>
          <w:b/>
          <w:bCs/>
        </w:rPr>
      </w:pPr>
      <w:r w:rsidRPr="006932EC">
        <w:rPr>
          <w:b/>
          <w:bCs/>
        </w:rPr>
        <w:lastRenderedPageBreak/>
        <w:t xml:space="preserve">3. Glosario de Términos.- </w:t>
      </w:r>
    </w:p>
    <w:p w:rsidR="00B835AF" w:rsidRDefault="00B835AF" w:rsidP="00FF5193">
      <w:pPr>
        <w:pStyle w:val="Default"/>
        <w:rPr>
          <w:sz w:val="23"/>
          <w:szCs w:val="23"/>
        </w:rPr>
      </w:pPr>
    </w:p>
    <w:p w:rsidR="00FF5193" w:rsidRDefault="00FF5193" w:rsidP="00FF5193">
      <w:pPr>
        <w:pStyle w:val="Default"/>
        <w:rPr>
          <w:sz w:val="22"/>
          <w:szCs w:val="22"/>
        </w:rPr>
      </w:pPr>
      <w:r>
        <w:rPr>
          <w:sz w:val="22"/>
          <w:szCs w:val="22"/>
        </w:rPr>
        <w:t xml:space="preserve">Para efectos del presente documento, se entenderá por: </w:t>
      </w:r>
    </w:p>
    <w:p w:rsidR="00C27428" w:rsidRDefault="00C27428" w:rsidP="00FF5193">
      <w:pPr>
        <w:pStyle w:val="Default"/>
        <w:rPr>
          <w:sz w:val="22"/>
          <w:szCs w:val="22"/>
        </w:rPr>
      </w:pPr>
    </w:p>
    <w:p w:rsidR="00344AE8" w:rsidRDefault="00344AE8" w:rsidP="00344AE8">
      <w:pPr>
        <w:pStyle w:val="Default"/>
        <w:numPr>
          <w:ilvl w:val="0"/>
          <w:numId w:val="4"/>
        </w:numPr>
        <w:spacing w:after="146"/>
        <w:ind w:left="284" w:hanging="284"/>
        <w:jc w:val="both"/>
        <w:rPr>
          <w:color w:val="auto"/>
          <w:sz w:val="22"/>
          <w:szCs w:val="22"/>
        </w:rPr>
      </w:pPr>
      <w:r>
        <w:rPr>
          <w:b/>
          <w:bCs/>
          <w:color w:val="auto"/>
          <w:sz w:val="22"/>
          <w:szCs w:val="22"/>
        </w:rPr>
        <w:t xml:space="preserve">CONEVAL: </w:t>
      </w:r>
      <w:r>
        <w:rPr>
          <w:color w:val="auto"/>
          <w:sz w:val="22"/>
          <w:szCs w:val="22"/>
        </w:rPr>
        <w:t xml:space="preserve">Consejo Nacional de Evaluación de la Política de Desarrollo Social. </w:t>
      </w:r>
    </w:p>
    <w:p w:rsidR="00344AE8" w:rsidRDefault="00344AE8" w:rsidP="00344AE8">
      <w:pPr>
        <w:pStyle w:val="Default"/>
        <w:numPr>
          <w:ilvl w:val="0"/>
          <w:numId w:val="4"/>
        </w:numPr>
        <w:spacing w:after="146"/>
        <w:ind w:left="284" w:hanging="284"/>
        <w:jc w:val="both"/>
        <w:rPr>
          <w:bCs/>
          <w:color w:val="auto"/>
          <w:sz w:val="22"/>
          <w:szCs w:val="22"/>
        </w:rPr>
      </w:pPr>
      <w:r w:rsidRPr="00C27428">
        <w:rPr>
          <w:b/>
          <w:bCs/>
          <w:color w:val="auto"/>
          <w:sz w:val="22"/>
          <w:szCs w:val="22"/>
        </w:rPr>
        <w:t xml:space="preserve">Dependencias: </w:t>
      </w:r>
      <w:r w:rsidRPr="00C27428">
        <w:rPr>
          <w:bCs/>
          <w:color w:val="auto"/>
          <w:sz w:val="22"/>
          <w:szCs w:val="22"/>
        </w:rPr>
        <w:t xml:space="preserve">El Despacho del Gobernador del Estado, las Secretarías del Despacho y la Procuraduría General de Justicia integran la Administración Pública Centralizada. </w:t>
      </w:r>
    </w:p>
    <w:p w:rsidR="00344AE8" w:rsidRPr="00C27428" w:rsidRDefault="00344AE8" w:rsidP="00344AE8">
      <w:pPr>
        <w:pStyle w:val="Default"/>
        <w:numPr>
          <w:ilvl w:val="0"/>
          <w:numId w:val="4"/>
        </w:numPr>
        <w:spacing w:after="146"/>
        <w:ind w:left="284" w:hanging="284"/>
        <w:jc w:val="both"/>
        <w:rPr>
          <w:bCs/>
          <w:color w:val="auto"/>
          <w:sz w:val="22"/>
          <w:szCs w:val="22"/>
        </w:rPr>
      </w:pPr>
      <w:r>
        <w:rPr>
          <w:b/>
          <w:bCs/>
          <w:color w:val="auto"/>
          <w:sz w:val="22"/>
          <w:szCs w:val="22"/>
        </w:rPr>
        <w:t xml:space="preserve">Entidades: </w:t>
      </w:r>
      <w:r w:rsidRPr="00C27428">
        <w:rPr>
          <w:bCs/>
          <w:color w:val="auto"/>
          <w:sz w:val="22"/>
          <w:szCs w:val="22"/>
        </w:rPr>
        <w:t xml:space="preserve">Los organismos públicos descentralizados, las empresas de participación estatal, los fondos y fideicomisos Públicos Paraestatales y los demás organismos de carácter público que funcionen en el Estado, conforman la Administración Pública Paraestatal. </w:t>
      </w:r>
    </w:p>
    <w:p w:rsidR="00FF5193" w:rsidRDefault="00FF5193" w:rsidP="00DA7248">
      <w:pPr>
        <w:pStyle w:val="Default"/>
        <w:numPr>
          <w:ilvl w:val="0"/>
          <w:numId w:val="4"/>
        </w:numPr>
        <w:spacing w:after="147"/>
        <w:ind w:left="284" w:hanging="284"/>
        <w:jc w:val="both"/>
        <w:rPr>
          <w:sz w:val="22"/>
          <w:szCs w:val="22"/>
        </w:rPr>
      </w:pPr>
      <w:r>
        <w:rPr>
          <w:b/>
          <w:bCs/>
          <w:sz w:val="22"/>
          <w:szCs w:val="22"/>
        </w:rPr>
        <w:t xml:space="preserve">Evaluación: </w:t>
      </w:r>
      <w:r>
        <w:rPr>
          <w:sz w:val="22"/>
          <w:szCs w:val="22"/>
        </w:rPr>
        <w:t>al análisis sistemático y objetivo de los programas estatales, que tiene como finalidad determinar la pertinencia y el logro de sus objetivos y metas, así como su eficiencia, eficacia, calidad, resulta</w:t>
      </w:r>
      <w:r w:rsidR="00FC2A86">
        <w:rPr>
          <w:sz w:val="22"/>
          <w:szCs w:val="22"/>
        </w:rPr>
        <w:t>dos, impactos y sostenibilidad.</w:t>
      </w:r>
    </w:p>
    <w:p w:rsidR="00FC2A86" w:rsidRDefault="00FC2A86" w:rsidP="00FC2A86">
      <w:pPr>
        <w:pStyle w:val="Default"/>
        <w:numPr>
          <w:ilvl w:val="0"/>
          <w:numId w:val="4"/>
        </w:numPr>
        <w:spacing w:after="147"/>
        <w:ind w:left="284" w:hanging="284"/>
        <w:jc w:val="both"/>
        <w:rPr>
          <w:sz w:val="22"/>
          <w:szCs w:val="22"/>
        </w:rPr>
      </w:pPr>
      <w:r>
        <w:rPr>
          <w:b/>
          <w:bCs/>
          <w:sz w:val="22"/>
          <w:szCs w:val="22"/>
        </w:rPr>
        <w:t xml:space="preserve">Evaluación externa: </w:t>
      </w:r>
      <w:r>
        <w:rPr>
          <w:sz w:val="22"/>
          <w:szCs w:val="22"/>
        </w:rPr>
        <w:t xml:space="preserve">a la que realiza a través de personas físicas y morales especializadas y con experiencia probada en la materia que corresponda evaluar, que cumplan con los requisitos de independencia, imparcialidad, transparencia y los demás que se establezcan en las disposiciones aplicables. </w:t>
      </w:r>
    </w:p>
    <w:p w:rsidR="00FC2A86" w:rsidRPr="00344AE8" w:rsidRDefault="00FC2A86" w:rsidP="00FC2A86">
      <w:pPr>
        <w:pStyle w:val="Default"/>
        <w:numPr>
          <w:ilvl w:val="0"/>
          <w:numId w:val="4"/>
        </w:numPr>
        <w:spacing w:after="147"/>
        <w:ind w:left="284" w:hanging="284"/>
        <w:jc w:val="both"/>
        <w:rPr>
          <w:sz w:val="22"/>
          <w:szCs w:val="22"/>
        </w:rPr>
      </w:pPr>
      <w:proofErr w:type="spellStart"/>
      <w:r>
        <w:rPr>
          <w:b/>
          <w:bCs/>
          <w:sz w:val="22"/>
          <w:szCs w:val="22"/>
        </w:rPr>
        <w:t>G</w:t>
      </w:r>
      <w:r w:rsidRPr="009964CE">
        <w:rPr>
          <w:b/>
          <w:bCs/>
          <w:sz w:val="22"/>
          <w:szCs w:val="22"/>
        </w:rPr>
        <w:t>bR</w:t>
      </w:r>
      <w:proofErr w:type="spellEnd"/>
      <w:r w:rsidRPr="009964CE">
        <w:rPr>
          <w:b/>
          <w:bCs/>
          <w:sz w:val="22"/>
          <w:szCs w:val="22"/>
        </w:rPr>
        <w:t>: Gestión para Resultados (</w:t>
      </w:r>
      <w:proofErr w:type="spellStart"/>
      <w:r w:rsidRPr="009964CE">
        <w:rPr>
          <w:b/>
          <w:bCs/>
          <w:sz w:val="22"/>
          <w:szCs w:val="22"/>
        </w:rPr>
        <w:t>GpR</w:t>
      </w:r>
      <w:proofErr w:type="spellEnd"/>
      <w:r w:rsidRPr="009964CE">
        <w:rPr>
          <w:b/>
          <w:bCs/>
          <w:sz w:val="22"/>
          <w:szCs w:val="22"/>
        </w:rPr>
        <w:t>)</w:t>
      </w:r>
      <w:r>
        <w:rPr>
          <w:b/>
          <w:bCs/>
          <w:sz w:val="22"/>
          <w:szCs w:val="22"/>
        </w:rPr>
        <w:t>.-</w:t>
      </w:r>
      <w:r>
        <w:t xml:space="preserve"> se entiende como el modelo de cultura organizacional, directiva y de desempeño institucional, que pone el énfasis en los resultados (en vez de en los procedimientos). Aunque interesa cómo se hacen las cosas, cobra mayor relevancia qué se hace, qué se logra y cuál es su impacto en el bienestar de la población: la creación de valor público.</w:t>
      </w:r>
    </w:p>
    <w:p w:rsidR="00344AE8" w:rsidRDefault="00344AE8" w:rsidP="00344AE8">
      <w:pPr>
        <w:pStyle w:val="Default"/>
        <w:numPr>
          <w:ilvl w:val="0"/>
          <w:numId w:val="4"/>
        </w:numPr>
        <w:ind w:left="284" w:hanging="284"/>
        <w:jc w:val="both"/>
        <w:rPr>
          <w:color w:val="auto"/>
          <w:sz w:val="22"/>
          <w:szCs w:val="22"/>
        </w:rPr>
      </w:pPr>
      <w:r>
        <w:rPr>
          <w:b/>
          <w:bCs/>
          <w:color w:val="auto"/>
          <w:sz w:val="22"/>
          <w:szCs w:val="22"/>
        </w:rPr>
        <w:t xml:space="preserve">GOI 2014: </w:t>
      </w:r>
      <w:r>
        <w:rPr>
          <w:color w:val="auto"/>
          <w:sz w:val="22"/>
          <w:szCs w:val="22"/>
        </w:rPr>
        <w:t xml:space="preserve">Guías de Operación Ejercicio Fiscal 2014 emitidos por la SPPP, SCG y la SAF: </w:t>
      </w:r>
    </w:p>
    <w:p w:rsidR="00344AE8" w:rsidRPr="00344AE8" w:rsidRDefault="00344AE8" w:rsidP="00344AE8">
      <w:pPr>
        <w:pStyle w:val="Default"/>
        <w:numPr>
          <w:ilvl w:val="1"/>
          <w:numId w:val="4"/>
        </w:numPr>
        <w:ind w:left="567" w:hanging="284"/>
        <w:rPr>
          <w:i/>
          <w:color w:val="auto"/>
          <w:sz w:val="22"/>
          <w:szCs w:val="22"/>
        </w:rPr>
      </w:pPr>
      <w:r w:rsidRPr="00344AE8">
        <w:rPr>
          <w:i/>
          <w:color w:val="auto"/>
          <w:sz w:val="22"/>
          <w:szCs w:val="22"/>
        </w:rPr>
        <w:t xml:space="preserve">Inversión Estatal y Subsidios Federales. </w:t>
      </w:r>
    </w:p>
    <w:p w:rsidR="00344AE8" w:rsidRPr="00344AE8" w:rsidRDefault="00344AE8" w:rsidP="00344AE8">
      <w:pPr>
        <w:pStyle w:val="Default"/>
        <w:numPr>
          <w:ilvl w:val="1"/>
          <w:numId w:val="4"/>
        </w:numPr>
        <w:ind w:left="567" w:hanging="284"/>
        <w:rPr>
          <w:i/>
          <w:color w:val="auto"/>
          <w:sz w:val="22"/>
          <w:szCs w:val="22"/>
        </w:rPr>
      </w:pPr>
      <w:r w:rsidRPr="00344AE8">
        <w:rPr>
          <w:i/>
          <w:color w:val="auto"/>
          <w:sz w:val="22"/>
          <w:szCs w:val="22"/>
        </w:rPr>
        <w:t xml:space="preserve">Ramo 33 Aportaciones Federales para Entidades Federativas y Municipios (FISE, FAM Y FAFEF). </w:t>
      </w:r>
    </w:p>
    <w:p w:rsidR="00344AE8" w:rsidRDefault="00344AE8" w:rsidP="00344AE8">
      <w:pPr>
        <w:pStyle w:val="Default"/>
        <w:rPr>
          <w:color w:val="auto"/>
          <w:sz w:val="22"/>
          <w:szCs w:val="22"/>
        </w:rPr>
      </w:pPr>
    </w:p>
    <w:p w:rsidR="00FC2A86" w:rsidRDefault="00FC2A86" w:rsidP="00FC2A86">
      <w:pPr>
        <w:pStyle w:val="Default"/>
        <w:numPr>
          <w:ilvl w:val="0"/>
          <w:numId w:val="4"/>
        </w:numPr>
        <w:spacing w:after="147"/>
        <w:ind w:left="284" w:hanging="284"/>
        <w:rPr>
          <w:sz w:val="22"/>
          <w:szCs w:val="22"/>
        </w:rPr>
      </w:pPr>
      <w:r>
        <w:rPr>
          <w:b/>
          <w:bCs/>
          <w:sz w:val="22"/>
          <w:szCs w:val="22"/>
        </w:rPr>
        <w:t xml:space="preserve">LCC: </w:t>
      </w:r>
      <w:r>
        <w:rPr>
          <w:sz w:val="22"/>
          <w:szCs w:val="22"/>
        </w:rPr>
        <w:t xml:space="preserve">Ley que Crea el COPLADENAY. </w:t>
      </w:r>
    </w:p>
    <w:p w:rsidR="00FC2A86" w:rsidRDefault="00FC2A86" w:rsidP="00FC2A86">
      <w:pPr>
        <w:pStyle w:val="Default"/>
        <w:numPr>
          <w:ilvl w:val="0"/>
          <w:numId w:val="4"/>
        </w:numPr>
        <w:spacing w:after="147"/>
        <w:ind w:left="284" w:hanging="284"/>
        <w:rPr>
          <w:sz w:val="22"/>
          <w:szCs w:val="22"/>
        </w:rPr>
      </w:pPr>
      <w:r>
        <w:rPr>
          <w:b/>
          <w:bCs/>
          <w:sz w:val="22"/>
          <w:szCs w:val="22"/>
        </w:rPr>
        <w:t xml:space="preserve">LGCG: </w:t>
      </w:r>
      <w:r>
        <w:rPr>
          <w:sz w:val="22"/>
          <w:szCs w:val="22"/>
        </w:rPr>
        <w:t xml:space="preserve">a la Ley General de Contabilidad Gubernamental; </w:t>
      </w:r>
    </w:p>
    <w:p w:rsidR="00FC2A86" w:rsidRDefault="00FC2A86" w:rsidP="00FC2A86">
      <w:pPr>
        <w:pStyle w:val="Default"/>
        <w:numPr>
          <w:ilvl w:val="0"/>
          <w:numId w:val="4"/>
        </w:numPr>
        <w:spacing w:after="147"/>
        <w:ind w:left="284" w:hanging="284"/>
        <w:jc w:val="both"/>
        <w:rPr>
          <w:sz w:val="22"/>
          <w:szCs w:val="22"/>
        </w:rPr>
      </w:pPr>
      <w:r>
        <w:rPr>
          <w:b/>
          <w:bCs/>
          <w:sz w:val="22"/>
          <w:szCs w:val="22"/>
        </w:rPr>
        <w:t xml:space="preserve">Lineamientos Federales: </w:t>
      </w:r>
      <w:r>
        <w:rPr>
          <w:sz w:val="22"/>
          <w:szCs w:val="22"/>
        </w:rPr>
        <w:t xml:space="preserve">a los Lineamientos Generales para la evaluación de los Programas Federales de la Administración Pública Federal publicados en el Diario Oficial de la Federación el 30 de marzo de 2007. </w:t>
      </w:r>
    </w:p>
    <w:p w:rsidR="00344AE8" w:rsidRDefault="00344AE8" w:rsidP="00344AE8">
      <w:pPr>
        <w:pStyle w:val="Default"/>
        <w:numPr>
          <w:ilvl w:val="0"/>
          <w:numId w:val="4"/>
        </w:numPr>
        <w:spacing w:after="147"/>
        <w:ind w:left="284" w:hanging="284"/>
        <w:jc w:val="both"/>
        <w:rPr>
          <w:sz w:val="22"/>
          <w:szCs w:val="22"/>
        </w:rPr>
      </w:pPr>
      <w:r>
        <w:rPr>
          <w:b/>
          <w:bCs/>
          <w:sz w:val="22"/>
          <w:szCs w:val="22"/>
        </w:rPr>
        <w:t xml:space="preserve">LPCGP: </w:t>
      </w:r>
      <w:r>
        <w:rPr>
          <w:sz w:val="22"/>
          <w:szCs w:val="22"/>
        </w:rPr>
        <w:t xml:space="preserve">Ley de Presupuestación, Contabilidad y Gasto Público de la Administración del Gobierno del Estado de Nayarit. </w:t>
      </w:r>
    </w:p>
    <w:p w:rsidR="00FC2A86" w:rsidRDefault="00FC2A86" w:rsidP="00FC2A86">
      <w:pPr>
        <w:pStyle w:val="Default"/>
        <w:numPr>
          <w:ilvl w:val="0"/>
          <w:numId w:val="4"/>
        </w:numPr>
        <w:spacing w:after="147"/>
        <w:ind w:left="284" w:hanging="284"/>
        <w:rPr>
          <w:sz w:val="22"/>
          <w:szCs w:val="22"/>
        </w:rPr>
      </w:pPr>
      <w:r>
        <w:rPr>
          <w:b/>
          <w:bCs/>
          <w:sz w:val="22"/>
          <w:szCs w:val="22"/>
        </w:rPr>
        <w:t xml:space="preserve">LPEN: </w:t>
      </w:r>
      <w:r>
        <w:rPr>
          <w:sz w:val="22"/>
          <w:szCs w:val="22"/>
        </w:rPr>
        <w:t xml:space="preserve">Ley de Planeación del Estado de Nayarit. </w:t>
      </w:r>
    </w:p>
    <w:p w:rsidR="00FC2A86" w:rsidRDefault="00FC2A86" w:rsidP="00FC2A86">
      <w:pPr>
        <w:pStyle w:val="Default"/>
        <w:numPr>
          <w:ilvl w:val="0"/>
          <w:numId w:val="4"/>
        </w:numPr>
        <w:spacing w:after="147"/>
        <w:ind w:left="284" w:hanging="284"/>
        <w:rPr>
          <w:sz w:val="22"/>
          <w:szCs w:val="22"/>
        </w:rPr>
      </w:pPr>
      <w:r>
        <w:rPr>
          <w:b/>
          <w:bCs/>
          <w:sz w:val="22"/>
          <w:szCs w:val="22"/>
        </w:rPr>
        <w:t xml:space="preserve">MIR: </w:t>
      </w:r>
      <w:r>
        <w:rPr>
          <w:sz w:val="22"/>
          <w:szCs w:val="22"/>
        </w:rPr>
        <w:t xml:space="preserve">a la Matriz de Indicadores para Resultado, </w:t>
      </w:r>
    </w:p>
    <w:p w:rsidR="00FC2A86" w:rsidRDefault="00344AE8" w:rsidP="00FC2A86">
      <w:pPr>
        <w:pStyle w:val="Default"/>
        <w:numPr>
          <w:ilvl w:val="0"/>
          <w:numId w:val="4"/>
        </w:numPr>
        <w:spacing w:after="147"/>
        <w:ind w:left="284" w:hanging="284"/>
        <w:jc w:val="both"/>
        <w:rPr>
          <w:sz w:val="22"/>
          <w:szCs w:val="22"/>
        </w:rPr>
      </w:pPr>
      <w:r>
        <w:rPr>
          <w:b/>
          <w:bCs/>
          <w:sz w:val="22"/>
          <w:szCs w:val="22"/>
        </w:rPr>
        <w:t xml:space="preserve">MML: Metodología de </w:t>
      </w:r>
      <w:r w:rsidR="00FC2A86">
        <w:rPr>
          <w:b/>
          <w:bCs/>
          <w:sz w:val="22"/>
          <w:szCs w:val="22"/>
        </w:rPr>
        <w:t>Marco Lógico.</w:t>
      </w:r>
      <w:r w:rsidR="00FC2A86">
        <w:rPr>
          <w:sz w:val="22"/>
          <w:szCs w:val="22"/>
        </w:rPr>
        <w:t xml:space="preserve">-a la metodología para la elaboración de la MIR, mediante la cual se describe el fin, propósito, componentes y actividades, así como los indicadores, las metas, medios de verificación y supuestos para cada uno de los objetivos de los programas presupuestales. </w:t>
      </w:r>
    </w:p>
    <w:p w:rsidR="00FC2A86" w:rsidRDefault="00FC2A86" w:rsidP="00FC2A86">
      <w:pPr>
        <w:pStyle w:val="Default"/>
        <w:numPr>
          <w:ilvl w:val="0"/>
          <w:numId w:val="4"/>
        </w:numPr>
        <w:spacing w:after="147"/>
        <w:ind w:left="284" w:hanging="284"/>
        <w:rPr>
          <w:sz w:val="22"/>
          <w:szCs w:val="22"/>
        </w:rPr>
      </w:pPr>
      <w:r>
        <w:rPr>
          <w:b/>
          <w:bCs/>
          <w:sz w:val="22"/>
          <w:szCs w:val="22"/>
        </w:rPr>
        <w:t xml:space="preserve">PAE: </w:t>
      </w:r>
      <w:r>
        <w:rPr>
          <w:sz w:val="22"/>
          <w:szCs w:val="22"/>
        </w:rPr>
        <w:t xml:space="preserve">Programa Anual de Evaluación. </w:t>
      </w:r>
    </w:p>
    <w:p w:rsidR="00FC2A86" w:rsidRDefault="00FC2A86" w:rsidP="00FC2A86">
      <w:pPr>
        <w:pStyle w:val="Default"/>
        <w:numPr>
          <w:ilvl w:val="0"/>
          <w:numId w:val="4"/>
        </w:numPr>
        <w:spacing w:after="147"/>
        <w:ind w:left="284" w:hanging="284"/>
        <w:jc w:val="both"/>
        <w:rPr>
          <w:sz w:val="22"/>
          <w:szCs w:val="22"/>
        </w:rPr>
      </w:pPr>
      <w:r w:rsidRPr="00D169CC">
        <w:rPr>
          <w:b/>
          <w:bCs/>
          <w:sz w:val="22"/>
          <w:szCs w:val="22"/>
        </w:rPr>
        <w:lastRenderedPageBreak/>
        <w:t xml:space="preserve">PBR: Presupuesto Basado en Resultados: </w:t>
      </w:r>
      <w:r>
        <w:rPr>
          <w:sz w:val="22"/>
          <w:szCs w:val="22"/>
        </w:rPr>
        <w:t xml:space="preserve">El </w:t>
      </w:r>
      <w:proofErr w:type="spellStart"/>
      <w:r>
        <w:rPr>
          <w:sz w:val="22"/>
          <w:szCs w:val="22"/>
        </w:rPr>
        <w:t>PbR</w:t>
      </w:r>
      <w:proofErr w:type="spellEnd"/>
      <w:r>
        <w:rPr>
          <w:sz w:val="22"/>
          <w:szCs w:val="22"/>
        </w:rPr>
        <w:t xml:space="preserve"> es</w:t>
      </w:r>
      <w:r w:rsidRPr="00D169CC">
        <w:rPr>
          <w:sz w:val="22"/>
          <w:szCs w:val="22"/>
        </w:rPr>
        <w:t xml:space="preserve"> un proceso basado en consideraciones objetivas para la asignación de </w:t>
      </w:r>
      <w:r>
        <w:rPr>
          <w:sz w:val="22"/>
          <w:szCs w:val="22"/>
        </w:rPr>
        <w:t>recursos a Pp</w:t>
      </w:r>
      <w:r w:rsidRPr="00D169CC">
        <w:rPr>
          <w:sz w:val="22"/>
          <w:szCs w:val="22"/>
        </w:rPr>
        <w:t xml:space="preserve">, </w:t>
      </w:r>
      <w:r>
        <w:rPr>
          <w:sz w:val="22"/>
          <w:szCs w:val="22"/>
        </w:rPr>
        <w:t>y con ello</w:t>
      </w:r>
      <w:r w:rsidRPr="00D169CC">
        <w:rPr>
          <w:sz w:val="22"/>
          <w:szCs w:val="22"/>
        </w:rPr>
        <w:t xml:space="preserve"> fortalecer las políticas</w:t>
      </w:r>
      <w:r>
        <w:rPr>
          <w:sz w:val="22"/>
          <w:szCs w:val="22"/>
        </w:rPr>
        <w:t xml:space="preserve"> y programas públicos, así como</w:t>
      </w:r>
      <w:r w:rsidRPr="00D169CC">
        <w:rPr>
          <w:sz w:val="22"/>
          <w:szCs w:val="22"/>
        </w:rPr>
        <w:t xml:space="preserve"> desempeño institucional; en otras palabras, el </w:t>
      </w:r>
      <w:proofErr w:type="spellStart"/>
      <w:r w:rsidRPr="00D169CC">
        <w:rPr>
          <w:sz w:val="22"/>
          <w:szCs w:val="22"/>
        </w:rPr>
        <w:t>PbR</w:t>
      </w:r>
      <w:proofErr w:type="spellEnd"/>
      <w:r w:rsidRPr="00D169CC">
        <w:rPr>
          <w:sz w:val="22"/>
          <w:szCs w:val="22"/>
        </w:rPr>
        <w:t xml:space="preserve"> busca </w:t>
      </w:r>
      <w:r>
        <w:rPr>
          <w:sz w:val="22"/>
          <w:szCs w:val="22"/>
        </w:rPr>
        <w:t>mejorar la producción de</w:t>
      </w:r>
      <w:r w:rsidRPr="00D169CC">
        <w:rPr>
          <w:sz w:val="22"/>
          <w:szCs w:val="22"/>
        </w:rPr>
        <w:t xml:space="preserve"> los bienes y servicios públicos mediante la asignación de recursos a aquellos programas que sean pertinentes y estratégicos para obtener los resultados esperados.</w:t>
      </w:r>
    </w:p>
    <w:p w:rsidR="00344AE8" w:rsidRDefault="00344AE8" w:rsidP="00344AE8">
      <w:pPr>
        <w:pStyle w:val="Default"/>
        <w:numPr>
          <w:ilvl w:val="0"/>
          <w:numId w:val="4"/>
        </w:numPr>
        <w:spacing w:after="147"/>
        <w:ind w:left="284" w:hanging="284"/>
        <w:rPr>
          <w:sz w:val="22"/>
          <w:szCs w:val="22"/>
        </w:rPr>
      </w:pPr>
      <w:r>
        <w:rPr>
          <w:b/>
          <w:bCs/>
          <w:sz w:val="22"/>
          <w:szCs w:val="22"/>
        </w:rPr>
        <w:t xml:space="preserve">PEE: </w:t>
      </w:r>
      <w:r>
        <w:rPr>
          <w:sz w:val="22"/>
          <w:szCs w:val="22"/>
        </w:rPr>
        <w:t xml:space="preserve">al Presupuesto de Egresos del Estado de Nayarit. </w:t>
      </w:r>
    </w:p>
    <w:p w:rsidR="00FF5193" w:rsidRDefault="00DA7248" w:rsidP="00DA7248">
      <w:pPr>
        <w:pStyle w:val="Default"/>
        <w:numPr>
          <w:ilvl w:val="0"/>
          <w:numId w:val="4"/>
        </w:numPr>
        <w:spacing w:after="147"/>
        <w:ind w:left="284" w:hanging="284"/>
        <w:jc w:val="both"/>
        <w:rPr>
          <w:sz w:val="22"/>
          <w:szCs w:val="22"/>
        </w:rPr>
      </w:pPr>
      <w:r>
        <w:rPr>
          <w:b/>
          <w:bCs/>
          <w:sz w:val="22"/>
          <w:szCs w:val="22"/>
        </w:rPr>
        <w:t xml:space="preserve">Pp: </w:t>
      </w:r>
      <w:r w:rsidR="00FF5193">
        <w:rPr>
          <w:b/>
          <w:bCs/>
          <w:sz w:val="22"/>
          <w:szCs w:val="22"/>
        </w:rPr>
        <w:t>Programas Presupuestal</w:t>
      </w:r>
      <w:r w:rsidR="00185D8A">
        <w:rPr>
          <w:b/>
          <w:bCs/>
          <w:sz w:val="22"/>
          <w:szCs w:val="22"/>
        </w:rPr>
        <w:t>es.-</w:t>
      </w:r>
      <w:r w:rsidR="00FF5193">
        <w:rPr>
          <w:b/>
          <w:bCs/>
          <w:sz w:val="22"/>
          <w:szCs w:val="22"/>
        </w:rPr>
        <w:t xml:space="preserve"> </w:t>
      </w:r>
      <w:r w:rsidR="00FF5193">
        <w:rPr>
          <w:sz w:val="22"/>
          <w:szCs w:val="22"/>
        </w:rPr>
        <w:t xml:space="preserve">a los programas relativos a funciones de </w:t>
      </w:r>
      <w:r>
        <w:rPr>
          <w:sz w:val="22"/>
          <w:szCs w:val="22"/>
        </w:rPr>
        <w:t>Gobierno, D</w:t>
      </w:r>
      <w:r w:rsidR="00FF5193">
        <w:rPr>
          <w:sz w:val="22"/>
          <w:szCs w:val="22"/>
        </w:rPr>
        <w:t xml:space="preserve">esarrollo </w:t>
      </w:r>
      <w:r>
        <w:rPr>
          <w:sz w:val="22"/>
          <w:szCs w:val="22"/>
        </w:rPr>
        <w:t>S</w:t>
      </w:r>
      <w:r w:rsidR="00FF5193">
        <w:rPr>
          <w:sz w:val="22"/>
          <w:szCs w:val="22"/>
        </w:rPr>
        <w:t xml:space="preserve">ocial o </w:t>
      </w:r>
      <w:r>
        <w:rPr>
          <w:sz w:val="22"/>
          <w:szCs w:val="22"/>
        </w:rPr>
        <w:t>Desarrollo E</w:t>
      </w:r>
      <w:r w:rsidR="00185D8A">
        <w:rPr>
          <w:sz w:val="22"/>
          <w:szCs w:val="22"/>
        </w:rPr>
        <w:t>conómico</w:t>
      </w:r>
      <w:r w:rsidR="00FF5193">
        <w:rPr>
          <w:sz w:val="22"/>
          <w:szCs w:val="22"/>
        </w:rPr>
        <w:t xml:space="preserve"> previstos en </w:t>
      </w:r>
      <w:r w:rsidR="00185D8A">
        <w:rPr>
          <w:sz w:val="22"/>
          <w:szCs w:val="22"/>
        </w:rPr>
        <w:t>el Presupuesto de Egresos del Estado de</w:t>
      </w:r>
      <w:r w:rsidR="00FF5193">
        <w:rPr>
          <w:sz w:val="22"/>
          <w:szCs w:val="22"/>
        </w:rPr>
        <w:t xml:space="preserve"> cada ejercicio fiscal. </w:t>
      </w:r>
      <w:r w:rsidR="00D169CC">
        <w:rPr>
          <w:sz w:val="22"/>
          <w:szCs w:val="22"/>
        </w:rPr>
        <w:t>Es l</w:t>
      </w:r>
      <w:r w:rsidR="00D169CC" w:rsidRPr="00D169CC">
        <w:rPr>
          <w:sz w:val="22"/>
          <w:szCs w:val="22"/>
        </w:rPr>
        <w:t>a categoría programática que permite organizar en forma representativa y homogénea las asignaciones de recursos.</w:t>
      </w:r>
    </w:p>
    <w:p w:rsidR="00FF5193" w:rsidRDefault="00FF5193" w:rsidP="00DA7248">
      <w:pPr>
        <w:pStyle w:val="Default"/>
        <w:numPr>
          <w:ilvl w:val="0"/>
          <w:numId w:val="4"/>
        </w:numPr>
        <w:spacing w:after="147"/>
        <w:ind w:left="284" w:hanging="284"/>
        <w:jc w:val="both"/>
        <w:rPr>
          <w:sz w:val="22"/>
          <w:szCs w:val="22"/>
        </w:rPr>
      </w:pPr>
      <w:r>
        <w:rPr>
          <w:b/>
          <w:bCs/>
          <w:sz w:val="22"/>
          <w:szCs w:val="22"/>
        </w:rPr>
        <w:t xml:space="preserve">Proceso presupuestario: </w:t>
      </w:r>
      <w:r>
        <w:rPr>
          <w:sz w:val="22"/>
          <w:szCs w:val="22"/>
        </w:rPr>
        <w:t>al conjunto de actividades que comprende la planeación, programación, presupuestación, ejercicio, control, seguimiento, evaluación</w:t>
      </w:r>
      <w:r w:rsidR="00344AE8">
        <w:rPr>
          <w:sz w:val="22"/>
          <w:szCs w:val="22"/>
        </w:rPr>
        <w:t xml:space="preserve"> y rendición de cuentas;</w:t>
      </w:r>
    </w:p>
    <w:p w:rsidR="00344AE8" w:rsidRDefault="00344AE8" w:rsidP="00344AE8">
      <w:pPr>
        <w:pStyle w:val="Default"/>
        <w:numPr>
          <w:ilvl w:val="0"/>
          <w:numId w:val="4"/>
        </w:numPr>
        <w:spacing w:after="146"/>
        <w:ind w:left="284" w:hanging="284"/>
        <w:rPr>
          <w:color w:val="auto"/>
          <w:sz w:val="22"/>
          <w:szCs w:val="22"/>
        </w:rPr>
      </w:pPr>
      <w:r>
        <w:rPr>
          <w:b/>
          <w:bCs/>
          <w:color w:val="auto"/>
          <w:sz w:val="22"/>
          <w:szCs w:val="22"/>
        </w:rPr>
        <w:t xml:space="preserve">SAF: </w:t>
      </w:r>
      <w:r>
        <w:rPr>
          <w:color w:val="auto"/>
          <w:sz w:val="22"/>
          <w:szCs w:val="22"/>
        </w:rPr>
        <w:t xml:space="preserve">Secretaría de Administración y Finanzas </w:t>
      </w:r>
    </w:p>
    <w:p w:rsidR="00344AE8" w:rsidRDefault="00344AE8" w:rsidP="00344AE8">
      <w:pPr>
        <w:pStyle w:val="Default"/>
        <w:numPr>
          <w:ilvl w:val="0"/>
          <w:numId w:val="4"/>
        </w:numPr>
        <w:spacing w:after="146"/>
        <w:ind w:left="284" w:hanging="284"/>
        <w:rPr>
          <w:color w:val="auto"/>
          <w:sz w:val="22"/>
          <w:szCs w:val="22"/>
        </w:rPr>
      </w:pPr>
      <w:r>
        <w:rPr>
          <w:b/>
          <w:bCs/>
          <w:color w:val="auto"/>
          <w:sz w:val="22"/>
          <w:szCs w:val="22"/>
        </w:rPr>
        <w:t xml:space="preserve">SCG: </w:t>
      </w:r>
      <w:r>
        <w:rPr>
          <w:color w:val="auto"/>
          <w:sz w:val="22"/>
          <w:szCs w:val="22"/>
        </w:rPr>
        <w:t xml:space="preserve">Secretaría de Contraloría General </w:t>
      </w:r>
    </w:p>
    <w:p w:rsidR="00344AE8" w:rsidRDefault="00FF5193" w:rsidP="00DA7248">
      <w:pPr>
        <w:pStyle w:val="Default"/>
        <w:numPr>
          <w:ilvl w:val="0"/>
          <w:numId w:val="4"/>
        </w:numPr>
        <w:spacing w:after="147"/>
        <w:ind w:left="284" w:hanging="284"/>
        <w:rPr>
          <w:sz w:val="22"/>
          <w:szCs w:val="22"/>
        </w:rPr>
      </w:pPr>
      <w:r>
        <w:rPr>
          <w:b/>
          <w:bCs/>
          <w:sz w:val="22"/>
          <w:szCs w:val="22"/>
        </w:rPr>
        <w:t xml:space="preserve">SED: </w:t>
      </w:r>
      <w:r>
        <w:rPr>
          <w:sz w:val="22"/>
          <w:szCs w:val="22"/>
        </w:rPr>
        <w:t>al Sistema de Evaluación de Desempeño;</w:t>
      </w:r>
    </w:p>
    <w:p w:rsidR="00344AE8" w:rsidRDefault="00344AE8" w:rsidP="00344AE8">
      <w:pPr>
        <w:pStyle w:val="Default"/>
        <w:numPr>
          <w:ilvl w:val="0"/>
          <w:numId w:val="4"/>
        </w:numPr>
        <w:spacing w:after="146"/>
        <w:ind w:left="284" w:hanging="284"/>
        <w:rPr>
          <w:color w:val="auto"/>
          <w:sz w:val="22"/>
          <w:szCs w:val="22"/>
        </w:rPr>
      </w:pPr>
      <w:r>
        <w:rPr>
          <w:b/>
          <w:bCs/>
          <w:color w:val="auto"/>
          <w:sz w:val="22"/>
          <w:szCs w:val="22"/>
        </w:rPr>
        <w:t xml:space="preserve">SFP: </w:t>
      </w:r>
      <w:r>
        <w:rPr>
          <w:color w:val="auto"/>
          <w:sz w:val="22"/>
          <w:szCs w:val="22"/>
        </w:rPr>
        <w:t xml:space="preserve">Secretaría de la Función Pública </w:t>
      </w:r>
    </w:p>
    <w:p w:rsidR="00344AE8" w:rsidRDefault="00344AE8" w:rsidP="00344AE8">
      <w:pPr>
        <w:pStyle w:val="Default"/>
        <w:numPr>
          <w:ilvl w:val="0"/>
          <w:numId w:val="4"/>
        </w:numPr>
        <w:spacing w:after="146"/>
        <w:ind w:left="284" w:hanging="284"/>
        <w:rPr>
          <w:color w:val="auto"/>
          <w:sz w:val="22"/>
          <w:szCs w:val="22"/>
        </w:rPr>
      </w:pPr>
      <w:r>
        <w:rPr>
          <w:b/>
          <w:bCs/>
          <w:color w:val="auto"/>
          <w:sz w:val="22"/>
          <w:szCs w:val="22"/>
        </w:rPr>
        <w:t xml:space="preserve">SHCP: </w:t>
      </w:r>
      <w:r>
        <w:rPr>
          <w:color w:val="auto"/>
          <w:sz w:val="22"/>
          <w:szCs w:val="22"/>
        </w:rPr>
        <w:t xml:space="preserve">Secretaría de Hacienda y Crédito Público. </w:t>
      </w:r>
    </w:p>
    <w:p w:rsidR="00344AE8" w:rsidRDefault="00344AE8" w:rsidP="00344AE8">
      <w:pPr>
        <w:pStyle w:val="Default"/>
        <w:numPr>
          <w:ilvl w:val="0"/>
          <w:numId w:val="4"/>
        </w:numPr>
        <w:spacing w:after="146"/>
        <w:ind w:left="284" w:hanging="284"/>
        <w:rPr>
          <w:color w:val="auto"/>
          <w:sz w:val="22"/>
          <w:szCs w:val="22"/>
        </w:rPr>
      </w:pPr>
      <w:r>
        <w:rPr>
          <w:b/>
          <w:bCs/>
          <w:color w:val="auto"/>
          <w:sz w:val="22"/>
          <w:szCs w:val="22"/>
        </w:rPr>
        <w:t xml:space="preserve">SPPP: </w:t>
      </w:r>
      <w:r>
        <w:rPr>
          <w:color w:val="auto"/>
          <w:sz w:val="22"/>
          <w:szCs w:val="22"/>
        </w:rPr>
        <w:t xml:space="preserve">Secretaría de Planeación, Programación y Presupuesto. </w:t>
      </w:r>
    </w:p>
    <w:p w:rsidR="00FF5193" w:rsidRDefault="00FF5193" w:rsidP="00DA7248">
      <w:pPr>
        <w:pStyle w:val="Default"/>
        <w:numPr>
          <w:ilvl w:val="0"/>
          <w:numId w:val="4"/>
        </w:numPr>
        <w:spacing w:after="147"/>
        <w:ind w:left="284" w:hanging="284"/>
        <w:rPr>
          <w:sz w:val="22"/>
          <w:szCs w:val="22"/>
        </w:rPr>
      </w:pPr>
      <w:proofErr w:type="spellStart"/>
      <w:r>
        <w:rPr>
          <w:b/>
          <w:bCs/>
          <w:sz w:val="22"/>
          <w:szCs w:val="22"/>
        </w:rPr>
        <w:t>TdR</w:t>
      </w:r>
      <w:proofErr w:type="spellEnd"/>
      <w:r>
        <w:rPr>
          <w:b/>
          <w:bCs/>
          <w:sz w:val="22"/>
          <w:szCs w:val="22"/>
        </w:rPr>
        <w:t xml:space="preserve">: </w:t>
      </w:r>
      <w:r>
        <w:rPr>
          <w:sz w:val="22"/>
          <w:szCs w:val="22"/>
        </w:rPr>
        <w:t xml:space="preserve">al Modelo de Términos de Referencia; </w:t>
      </w:r>
    </w:p>
    <w:p w:rsidR="00FF5193" w:rsidRDefault="00FF5193" w:rsidP="00DA7248">
      <w:pPr>
        <w:pStyle w:val="Default"/>
        <w:numPr>
          <w:ilvl w:val="0"/>
          <w:numId w:val="4"/>
        </w:numPr>
        <w:spacing w:after="147"/>
        <w:ind w:left="284" w:hanging="284"/>
        <w:jc w:val="both"/>
        <w:rPr>
          <w:sz w:val="22"/>
          <w:szCs w:val="22"/>
        </w:rPr>
      </w:pPr>
      <w:r>
        <w:rPr>
          <w:b/>
          <w:bCs/>
          <w:sz w:val="22"/>
          <w:szCs w:val="22"/>
        </w:rPr>
        <w:t xml:space="preserve">Unidad de Control y Evaluación (UCE).- </w:t>
      </w:r>
      <w:r>
        <w:rPr>
          <w:sz w:val="22"/>
          <w:szCs w:val="22"/>
        </w:rPr>
        <w:t xml:space="preserve">establecida en el artículo 14 de la LPEN y artículo 3 y 17 de la LCC. Área administrativa ajena a la operación de los programas designada para coordinar la contratación, operación, supervisión y seguimiento de las evaluaciones, su calidad y cumplimiento normativo, así como responsable del envío de los resultados de la evaluación a las instancias correspondientes. </w:t>
      </w:r>
    </w:p>
    <w:p w:rsidR="00DA7248" w:rsidRDefault="00DA7248" w:rsidP="00FF5193">
      <w:pPr>
        <w:pStyle w:val="Default"/>
        <w:rPr>
          <w:sz w:val="22"/>
          <w:szCs w:val="22"/>
          <w:lang w:val="es-MX"/>
        </w:rPr>
      </w:pPr>
    </w:p>
    <w:p w:rsidR="00171BEE" w:rsidRPr="006932EC" w:rsidRDefault="00171BEE" w:rsidP="00171BEE">
      <w:pPr>
        <w:pStyle w:val="Default"/>
        <w:rPr>
          <w:color w:val="auto"/>
        </w:rPr>
      </w:pPr>
      <w:r>
        <w:rPr>
          <w:b/>
          <w:bCs/>
          <w:color w:val="auto"/>
        </w:rPr>
        <w:t>4</w:t>
      </w:r>
      <w:r w:rsidRPr="006932EC">
        <w:rPr>
          <w:b/>
          <w:bCs/>
          <w:color w:val="auto"/>
        </w:rPr>
        <w:t xml:space="preserve">. Áreas Responsables.- </w:t>
      </w:r>
    </w:p>
    <w:p w:rsidR="00171BEE" w:rsidRDefault="00171BEE" w:rsidP="00171BEE">
      <w:pPr>
        <w:pStyle w:val="Default"/>
        <w:jc w:val="both"/>
        <w:rPr>
          <w:color w:val="auto"/>
          <w:sz w:val="22"/>
          <w:szCs w:val="22"/>
        </w:rPr>
      </w:pPr>
    </w:p>
    <w:p w:rsidR="00171BEE" w:rsidRDefault="00171BEE" w:rsidP="00171BEE">
      <w:pPr>
        <w:pStyle w:val="Default"/>
        <w:jc w:val="both"/>
        <w:rPr>
          <w:color w:val="auto"/>
          <w:sz w:val="22"/>
          <w:szCs w:val="22"/>
        </w:rPr>
      </w:pPr>
      <w:r>
        <w:rPr>
          <w:color w:val="auto"/>
          <w:sz w:val="22"/>
          <w:szCs w:val="22"/>
        </w:rPr>
        <w:t xml:space="preserve">El PAE se establece de manera coordinada entre la SPPP y la SCG (a través de la UCE) dentro de los trabajos de consolidación del Sistema de Evaluación del Desempeño (SED) del estado de Nayarit. Conforme a la normatividad aplicable ante expuesta, las evaluaciones deberán realizarse por entes externos a la administración gubernamental que pueden ser: </w:t>
      </w:r>
    </w:p>
    <w:p w:rsidR="00171BEE" w:rsidRDefault="00171BEE" w:rsidP="00171BEE">
      <w:pPr>
        <w:pStyle w:val="Default"/>
        <w:rPr>
          <w:color w:val="auto"/>
          <w:sz w:val="22"/>
          <w:szCs w:val="22"/>
        </w:rPr>
      </w:pPr>
    </w:p>
    <w:p w:rsidR="00171BEE" w:rsidRDefault="00171BEE" w:rsidP="00171BEE">
      <w:pPr>
        <w:pStyle w:val="Default"/>
        <w:numPr>
          <w:ilvl w:val="0"/>
          <w:numId w:val="4"/>
        </w:numPr>
        <w:spacing w:after="27"/>
        <w:rPr>
          <w:color w:val="auto"/>
          <w:sz w:val="22"/>
          <w:szCs w:val="22"/>
        </w:rPr>
      </w:pPr>
      <w:r>
        <w:rPr>
          <w:color w:val="auto"/>
          <w:sz w:val="22"/>
          <w:szCs w:val="22"/>
        </w:rPr>
        <w:t xml:space="preserve">Instituciones académicas de educación superior y de investigación. </w:t>
      </w:r>
    </w:p>
    <w:p w:rsidR="00171BEE" w:rsidRDefault="00171BEE" w:rsidP="00171BEE">
      <w:pPr>
        <w:pStyle w:val="Default"/>
        <w:numPr>
          <w:ilvl w:val="0"/>
          <w:numId w:val="4"/>
        </w:numPr>
        <w:spacing w:after="27"/>
        <w:rPr>
          <w:color w:val="auto"/>
          <w:sz w:val="22"/>
          <w:szCs w:val="22"/>
        </w:rPr>
      </w:pPr>
      <w:r>
        <w:rPr>
          <w:color w:val="auto"/>
          <w:sz w:val="22"/>
          <w:szCs w:val="22"/>
        </w:rPr>
        <w:t xml:space="preserve">Personas físicas o morales especializadas en la materia. </w:t>
      </w:r>
    </w:p>
    <w:p w:rsidR="00171BEE" w:rsidRDefault="00171BEE" w:rsidP="00171BEE">
      <w:pPr>
        <w:pStyle w:val="Default"/>
        <w:numPr>
          <w:ilvl w:val="0"/>
          <w:numId w:val="4"/>
        </w:numPr>
        <w:rPr>
          <w:color w:val="auto"/>
          <w:sz w:val="22"/>
          <w:szCs w:val="22"/>
        </w:rPr>
      </w:pPr>
      <w:r>
        <w:rPr>
          <w:color w:val="auto"/>
          <w:sz w:val="22"/>
          <w:szCs w:val="22"/>
        </w:rPr>
        <w:t xml:space="preserve">Organismos especializados, de carácter nacional o internacional, que cuenten con reconocimiento aplicables. </w:t>
      </w:r>
    </w:p>
    <w:p w:rsidR="00171BEE" w:rsidRDefault="00171BEE" w:rsidP="00171BEE">
      <w:pPr>
        <w:pStyle w:val="Default"/>
        <w:ind w:left="720"/>
        <w:rPr>
          <w:color w:val="auto"/>
          <w:sz w:val="22"/>
          <w:szCs w:val="22"/>
        </w:rPr>
      </w:pPr>
    </w:p>
    <w:p w:rsidR="00171BEE" w:rsidRDefault="00171BEE" w:rsidP="00171BEE">
      <w:pPr>
        <w:pStyle w:val="Default"/>
        <w:jc w:val="both"/>
        <w:rPr>
          <w:color w:val="auto"/>
          <w:sz w:val="22"/>
          <w:szCs w:val="22"/>
        </w:rPr>
      </w:pPr>
      <w:r>
        <w:rPr>
          <w:color w:val="auto"/>
          <w:sz w:val="22"/>
          <w:szCs w:val="22"/>
        </w:rPr>
        <w:t>Lo anterior es con la finalidad de que mantenga su calidad de objetiva, imparcial, transparente e independiente.</w:t>
      </w:r>
    </w:p>
    <w:p w:rsidR="00171BEE" w:rsidRDefault="00171BEE" w:rsidP="00171BEE">
      <w:pPr>
        <w:pStyle w:val="Default"/>
        <w:jc w:val="both"/>
        <w:rPr>
          <w:color w:val="auto"/>
          <w:sz w:val="22"/>
          <w:szCs w:val="22"/>
        </w:rPr>
      </w:pPr>
    </w:p>
    <w:p w:rsidR="00171BEE" w:rsidRDefault="00171BEE" w:rsidP="00171BEE">
      <w:pPr>
        <w:pStyle w:val="Default"/>
        <w:jc w:val="both"/>
        <w:rPr>
          <w:color w:val="auto"/>
          <w:sz w:val="22"/>
          <w:szCs w:val="22"/>
        </w:rPr>
      </w:pPr>
      <w:r>
        <w:rPr>
          <w:color w:val="auto"/>
          <w:sz w:val="22"/>
          <w:szCs w:val="22"/>
        </w:rPr>
        <w:t>Las Evaluaciones externas podrán ser contratadas directamente por las dependencias o entidades que ejecutan los recursos de los Pp y/o que coordinan la ejecución del o los Fondos a evaluar.</w:t>
      </w:r>
    </w:p>
    <w:p w:rsidR="00171BEE" w:rsidRDefault="00171BEE" w:rsidP="00171BEE">
      <w:pPr>
        <w:pStyle w:val="Default"/>
        <w:rPr>
          <w:color w:val="auto"/>
          <w:sz w:val="22"/>
          <w:szCs w:val="22"/>
        </w:rPr>
      </w:pPr>
    </w:p>
    <w:p w:rsidR="00171BEE" w:rsidRDefault="00171BEE" w:rsidP="00171BEE">
      <w:pPr>
        <w:pStyle w:val="Default"/>
        <w:jc w:val="both"/>
        <w:rPr>
          <w:color w:val="auto"/>
          <w:sz w:val="22"/>
          <w:szCs w:val="22"/>
        </w:rPr>
      </w:pPr>
      <w:r>
        <w:rPr>
          <w:color w:val="auto"/>
          <w:sz w:val="22"/>
          <w:szCs w:val="22"/>
        </w:rPr>
        <w:lastRenderedPageBreak/>
        <w:t xml:space="preserve">La contratación, operación y supervisión de la evaluación externa, se deberá coordinar con la SPPP y principalmente con la UCE, en los términos de las disposiciones aplicables. La SPPP apoyará con la coordinación y organización de las dependencias y entidades que operan los programas presupuestales en la integración interna de la información </w:t>
      </w:r>
    </w:p>
    <w:p w:rsidR="00171BEE" w:rsidRDefault="00171BEE" w:rsidP="00171BEE">
      <w:pPr>
        <w:pStyle w:val="Default"/>
        <w:jc w:val="both"/>
        <w:rPr>
          <w:color w:val="auto"/>
          <w:sz w:val="22"/>
          <w:szCs w:val="22"/>
        </w:rPr>
      </w:pPr>
    </w:p>
    <w:p w:rsidR="00171BEE" w:rsidRDefault="00171BEE" w:rsidP="00171BEE">
      <w:pPr>
        <w:pStyle w:val="Default"/>
        <w:jc w:val="both"/>
        <w:rPr>
          <w:color w:val="auto"/>
          <w:sz w:val="22"/>
          <w:szCs w:val="22"/>
        </w:rPr>
      </w:pPr>
      <w:r>
        <w:rPr>
          <w:color w:val="auto"/>
          <w:sz w:val="22"/>
          <w:szCs w:val="22"/>
        </w:rPr>
        <w:t xml:space="preserve">La SPPP y la SCG-UCE, en el ámbito de su competencia y coordinación respectivas, informarán en su caso a las dependencias y entidades de la posible modificaciones que se realicen al cronograma de ejecución del PAE 2014 y anteriores. </w:t>
      </w:r>
    </w:p>
    <w:p w:rsidR="00171BEE" w:rsidRDefault="00171BEE" w:rsidP="00171BEE">
      <w:pPr>
        <w:pStyle w:val="Default"/>
        <w:jc w:val="both"/>
        <w:rPr>
          <w:color w:val="auto"/>
          <w:sz w:val="22"/>
          <w:szCs w:val="22"/>
        </w:rPr>
      </w:pPr>
    </w:p>
    <w:p w:rsidR="00171BEE" w:rsidRDefault="00171BEE" w:rsidP="00171BEE">
      <w:pPr>
        <w:pStyle w:val="Default"/>
        <w:jc w:val="both"/>
        <w:rPr>
          <w:color w:val="auto"/>
          <w:sz w:val="22"/>
          <w:szCs w:val="22"/>
        </w:rPr>
      </w:pPr>
      <w:r>
        <w:rPr>
          <w:color w:val="auto"/>
          <w:sz w:val="22"/>
          <w:szCs w:val="22"/>
        </w:rPr>
        <w:t>Asimismo, se podrán realizar contrataciones para que las evaluaciones abarquen varios ejercicios fiscales.</w:t>
      </w:r>
    </w:p>
    <w:p w:rsidR="00171BEE" w:rsidRPr="00C27428" w:rsidRDefault="00171BEE" w:rsidP="00171BEE">
      <w:pPr>
        <w:pStyle w:val="Default"/>
        <w:jc w:val="both"/>
        <w:rPr>
          <w:color w:val="auto"/>
          <w:sz w:val="22"/>
          <w:szCs w:val="22"/>
        </w:rPr>
      </w:pPr>
    </w:p>
    <w:p w:rsidR="00171BEE" w:rsidRDefault="00171BEE" w:rsidP="00171BEE">
      <w:pPr>
        <w:pStyle w:val="Default"/>
        <w:jc w:val="both"/>
        <w:rPr>
          <w:sz w:val="22"/>
          <w:szCs w:val="22"/>
        </w:rPr>
      </w:pPr>
      <w:r>
        <w:rPr>
          <w:sz w:val="22"/>
          <w:szCs w:val="22"/>
        </w:rPr>
        <w:t xml:space="preserve">La SPPP y SCG-UCE podrán determinar, en el ámbito de su competencia y coordinación respectivas, la realización de evaluaciones a Pp adicionales a las establecidas en el presente documento. </w:t>
      </w:r>
    </w:p>
    <w:p w:rsidR="00171BEE" w:rsidRDefault="00171BEE" w:rsidP="00171BEE">
      <w:pPr>
        <w:pStyle w:val="Default"/>
        <w:rPr>
          <w:sz w:val="22"/>
          <w:szCs w:val="22"/>
        </w:rPr>
      </w:pPr>
    </w:p>
    <w:p w:rsidR="00171BEE" w:rsidRPr="00443131" w:rsidRDefault="00171BEE" w:rsidP="00171BEE">
      <w:pPr>
        <w:pStyle w:val="Default"/>
        <w:jc w:val="both"/>
        <w:rPr>
          <w:sz w:val="22"/>
          <w:szCs w:val="22"/>
        </w:rPr>
      </w:pPr>
      <w:r w:rsidRPr="00C27428">
        <w:rPr>
          <w:sz w:val="22"/>
          <w:szCs w:val="22"/>
        </w:rPr>
        <w:t>En el caso de que las dependencias y entidades contraten evaluadores externos durante el ejercicio fiscal 201</w:t>
      </w:r>
      <w:r w:rsidRPr="00443131">
        <w:rPr>
          <w:sz w:val="22"/>
          <w:szCs w:val="22"/>
        </w:rPr>
        <w:t>4</w:t>
      </w:r>
      <w:r>
        <w:rPr>
          <w:sz w:val="22"/>
          <w:szCs w:val="22"/>
        </w:rPr>
        <w:t>, tanto</w:t>
      </w:r>
      <w:r w:rsidRPr="00C27428">
        <w:rPr>
          <w:sz w:val="22"/>
          <w:szCs w:val="22"/>
        </w:rPr>
        <w:t xml:space="preserve"> para las evaluaciones normales</w:t>
      </w:r>
      <w:r>
        <w:rPr>
          <w:sz w:val="22"/>
          <w:szCs w:val="22"/>
        </w:rPr>
        <w:t xml:space="preserve"> plasmadas</w:t>
      </w:r>
      <w:r w:rsidRPr="00C27428">
        <w:rPr>
          <w:sz w:val="22"/>
          <w:szCs w:val="22"/>
        </w:rPr>
        <w:t xml:space="preserve"> en este PAE 201</w:t>
      </w:r>
      <w:r w:rsidRPr="00443131">
        <w:rPr>
          <w:sz w:val="22"/>
          <w:szCs w:val="22"/>
        </w:rPr>
        <w:t>4</w:t>
      </w:r>
      <w:r>
        <w:rPr>
          <w:sz w:val="22"/>
          <w:szCs w:val="22"/>
        </w:rPr>
        <w:t>, así como</w:t>
      </w:r>
      <w:r w:rsidRPr="00C27428">
        <w:rPr>
          <w:sz w:val="22"/>
          <w:szCs w:val="22"/>
        </w:rPr>
        <w:t xml:space="preserve"> para las evaluaciones complementarias</w:t>
      </w:r>
      <w:r>
        <w:rPr>
          <w:sz w:val="22"/>
          <w:szCs w:val="22"/>
        </w:rPr>
        <w:t>;</w:t>
      </w:r>
      <w:r w:rsidRPr="00C27428">
        <w:rPr>
          <w:sz w:val="22"/>
          <w:szCs w:val="22"/>
        </w:rPr>
        <w:t xml:space="preserve"> deberán entregar a más tardar el últ</w:t>
      </w:r>
      <w:r w:rsidRPr="00443131">
        <w:rPr>
          <w:sz w:val="22"/>
          <w:szCs w:val="22"/>
        </w:rPr>
        <w:t>imo día hábil de octubre de 2014</w:t>
      </w:r>
      <w:r w:rsidRPr="00C27428">
        <w:rPr>
          <w:sz w:val="22"/>
          <w:szCs w:val="22"/>
        </w:rPr>
        <w:t xml:space="preserve"> a la SPPP y SCG, en el ámbito de su competencia y coordinación respectivas, una ficha técnica con los datos generales de dicha contratación, incluyendo el costo de la misma, instrumento que se encuentra de forma anexa en los </w:t>
      </w:r>
      <w:proofErr w:type="spellStart"/>
      <w:r w:rsidRPr="00C27428">
        <w:rPr>
          <w:sz w:val="22"/>
          <w:szCs w:val="22"/>
        </w:rPr>
        <w:t>TdR</w:t>
      </w:r>
      <w:proofErr w:type="spellEnd"/>
      <w:r w:rsidRPr="00C27428">
        <w:rPr>
          <w:sz w:val="22"/>
          <w:szCs w:val="22"/>
        </w:rPr>
        <w:t xml:space="preserve"> respectivos que determine la SPPP.</w:t>
      </w:r>
    </w:p>
    <w:p w:rsidR="00344AE8" w:rsidRDefault="00344AE8" w:rsidP="00FF5193">
      <w:pPr>
        <w:pStyle w:val="Default"/>
        <w:rPr>
          <w:sz w:val="22"/>
          <w:szCs w:val="22"/>
        </w:rPr>
      </w:pPr>
    </w:p>
    <w:p w:rsidR="002D62D8" w:rsidRPr="00171BEE" w:rsidRDefault="002D62D8" w:rsidP="00FF5193">
      <w:pPr>
        <w:pStyle w:val="Default"/>
        <w:rPr>
          <w:sz w:val="22"/>
          <w:szCs w:val="22"/>
        </w:rPr>
      </w:pPr>
    </w:p>
    <w:p w:rsidR="00344AE8" w:rsidRPr="00D86AB0" w:rsidRDefault="00344AE8" w:rsidP="00344AE8">
      <w:pPr>
        <w:pStyle w:val="Default"/>
        <w:jc w:val="both"/>
        <w:rPr>
          <w:b/>
          <w:bCs/>
          <w:lang w:val="es-MX"/>
        </w:rPr>
      </w:pPr>
      <w:r>
        <w:rPr>
          <w:b/>
          <w:bCs/>
          <w:lang w:val="es-MX"/>
        </w:rPr>
        <w:t>5</w:t>
      </w:r>
      <w:r w:rsidRPr="00D86AB0">
        <w:rPr>
          <w:b/>
          <w:bCs/>
          <w:lang w:val="es-MX"/>
        </w:rPr>
        <w:t>.</w:t>
      </w:r>
      <w:r>
        <w:rPr>
          <w:b/>
          <w:bCs/>
          <w:lang w:val="es-MX"/>
        </w:rPr>
        <w:t xml:space="preserve"> Sistema de Eval</w:t>
      </w:r>
      <w:r w:rsidRPr="00D86AB0">
        <w:rPr>
          <w:b/>
          <w:bCs/>
          <w:lang w:val="es-MX"/>
        </w:rPr>
        <w:t>uación del Desempeño</w:t>
      </w:r>
      <w:r>
        <w:rPr>
          <w:b/>
          <w:bCs/>
          <w:lang w:val="es-MX"/>
        </w:rPr>
        <w:t xml:space="preserve"> (SED)</w:t>
      </w:r>
    </w:p>
    <w:p w:rsidR="00344AE8" w:rsidRDefault="00344AE8" w:rsidP="00344AE8">
      <w:pPr>
        <w:pStyle w:val="Default"/>
        <w:jc w:val="both"/>
        <w:rPr>
          <w:color w:val="auto"/>
          <w:sz w:val="22"/>
          <w:szCs w:val="22"/>
        </w:rPr>
      </w:pPr>
    </w:p>
    <w:p w:rsidR="00344AE8" w:rsidRDefault="00344AE8" w:rsidP="00344AE8">
      <w:pPr>
        <w:pStyle w:val="Default"/>
        <w:jc w:val="both"/>
        <w:rPr>
          <w:color w:val="auto"/>
          <w:sz w:val="22"/>
          <w:szCs w:val="22"/>
        </w:rPr>
      </w:pPr>
      <w:r>
        <w:rPr>
          <w:color w:val="auto"/>
          <w:sz w:val="22"/>
          <w:szCs w:val="22"/>
        </w:rPr>
        <w:t>El Sistema de Evaluación del Desempeño (SED) se liga con el Presupuesto basado en Resultados (</w:t>
      </w:r>
      <w:proofErr w:type="spellStart"/>
      <w:r>
        <w:rPr>
          <w:color w:val="auto"/>
          <w:sz w:val="22"/>
          <w:szCs w:val="22"/>
        </w:rPr>
        <w:t>PbR</w:t>
      </w:r>
      <w:proofErr w:type="spellEnd"/>
      <w:r>
        <w:rPr>
          <w:color w:val="auto"/>
          <w:sz w:val="22"/>
          <w:szCs w:val="22"/>
        </w:rPr>
        <w:t>) en el Marco de</w:t>
      </w:r>
      <w:r>
        <w:rPr>
          <w:sz w:val="22"/>
          <w:szCs w:val="22"/>
        </w:rPr>
        <w:t>l nuevo Modelo de Gestión en base a Resultados (</w:t>
      </w:r>
      <w:proofErr w:type="spellStart"/>
      <w:r>
        <w:rPr>
          <w:sz w:val="22"/>
          <w:szCs w:val="22"/>
        </w:rPr>
        <w:t>GbR</w:t>
      </w:r>
      <w:proofErr w:type="spellEnd"/>
      <w:r>
        <w:rPr>
          <w:sz w:val="22"/>
          <w:szCs w:val="22"/>
        </w:rPr>
        <w:t>), mismo que se está implementando en Nayarit a partir de las diversas reformas constitucionales y legales aplicadas desde el 2008 a nivel nacional</w:t>
      </w:r>
      <w:r>
        <w:rPr>
          <w:color w:val="auto"/>
          <w:sz w:val="22"/>
          <w:szCs w:val="22"/>
        </w:rPr>
        <w:t xml:space="preserve">. </w:t>
      </w:r>
    </w:p>
    <w:p w:rsidR="00344AE8" w:rsidRDefault="00344AE8" w:rsidP="00344AE8">
      <w:pPr>
        <w:pStyle w:val="Default"/>
        <w:jc w:val="both"/>
        <w:rPr>
          <w:color w:val="auto"/>
          <w:sz w:val="22"/>
          <w:szCs w:val="22"/>
        </w:rPr>
      </w:pPr>
    </w:p>
    <w:p w:rsidR="00344AE8" w:rsidRPr="00CD41DF" w:rsidRDefault="00344AE8" w:rsidP="00344AE8">
      <w:pPr>
        <w:pStyle w:val="Default"/>
        <w:jc w:val="center"/>
        <w:rPr>
          <w:color w:val="auto"/>
          <w:sz w:val="22"/>
          <w:szCs w:val="22"/>
        </w:rPr>
      </w:pPr>
      <w:r>
        <w:rPr>
          <w:noProof/>
          <w:lang w:val="es-MX" w:eastAsia="es-MX"/>
        </w:rPr>
        <w:drawing>
          <wp:inline distT="0" distB="0" distL="0" distR="0" wp14:anchorId="17065189" wp14:editId="6872B79A">
            <wp:extent cx="3156861" cy="1911425"/>
            <wp:effectExtent l="0" t="0" r="5715" b="0"/>
            <wp:docPr id="5" name="Imagen 5" descr="http://www.hacienda.gob.mx/EGRESOS/sitio_pbr/PublishingImages/conceptualizaci%C3%B3n_gpr_pbr_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acienda.gob.mx/EGRESOS/sitio_pbr/PublishingImages/conceptualizaci%C3%B3n_gpr_pbr_se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8101" cy="1918231"/>
                    </a:xfrm>
                    <a:prstGeom prst="rect">
                      <a:avLst/>
                    </a:prstGeom>
                    <a:noFill/>
                    <a:ln>
                      <a:noFill/>
                    </a:ln>
                  </pic:spPr>
                </pic:pic>
              </a:graphicData>
            </a:graphic>
          </wp:inline>
        </w:drawing>
      </w:r>
    </w:p>
    <w:p w:rsidR="00344AE8" w:rsidRDefault="00344AE8" w:rsidP="00344AE8">
      <w:pPr>
        <w:pStyle w:val="Default"/>
        <w:jc w:val="both"/>
        <w:rPr>
          <w:color w:val="auto"/>
          <w:sz w:val="22"/>
          <w:szCs w:val="22"/>
        </w:rPr>
      </w:pPr>
    </w:p>
    <w:p w:rsidR="00344AE8" w:rsidRPr="002C4A74" w:rsidRDefault="00344AE8" w:rsidP="00344AE8">
      <w:pPr>
        <w:pStyle w:val="Default"/>
        <w:jc w:val="both"/>
        <w:rPr>
          <w:sz w:val="22"/>
          <w:szCs w:val="22"/>
        </w:rPr>
      </w:pPr>
      <w:r w:rsidRPr="002C4A74">
        <w:rPr>
          <w:sz w:val="22"/>
          <w:szCs w:val="22"/>
        </w:rPr>
        <w:t xml:space="preserve">El </w:t>
      </w:r>
      <w:r>
        <w:rPr>
          <w:sz w:val="22"/>
          <w:szCs w:val="22"/>
        </w:rPr>
        <w:t xml:space="preserve">presente PAE </w:t>
      </w:r>
      <w:r>
        <w:rPr>
          <w:color w:val="auto"/>
          <w:sz w:val="22"/>
          <w:szCs w:val="22"/>
        </w:rPr>
        <w:t xml:space="preserve">forma parte del </w:t>
      </w:r>
      <w:r w:rsidRPr="002C4A74">
        <w:rPr>
          <w:sz w:val="22"/>
          <w:szCs w:val="22"/>
        </w:rPr>
        <w:t>SED</w:t>
      </w:r>
      <w:r>
        <w:rPr>
          <w:sz w:val="22"/>
          <w:szCs w:val="22"/>
        </w:rPr>
        <w:t>,</w:t>
      </w:r>
      <w:r w:rsidRPr="002C4A74">
        <w:rPr>
          <w:sz w:val="22"/>
          <w:szCs w:val="22"/>
        </w:rPr>
        <w:t xml:space="preserve"> </w:t>
      </w:r>
      <w:r>
        <w:rPr>
          <w:sz w:val="22"/>
          <w:szCs w:val="22"/>
        </w:rPr>
        <w:t>en este último se plasma el</w:t>
      </w:r>
      <w:r w:rsidRPr="002C4A74">
        <w:rPr>
          <w:sz w:val="22"/>
          <w:szCs w:val="22"/>
        </w:rPr>
        <w:t xml:space="preserve"> conjunto de procesos y elementos metodológicos que permiten realizar sistemáticamente el seguimiento y la evaluación de las políticas, las instituciones y los programas implementados por las dependencias y entidades, para lograr un valor público. </w:t>
      </w:r>
      <w:r>
        <w:rPr>
          <w:sz w:val="22"/>
          <w:szCs w:val="22"/>
        </w:rPr>
        <w:t>C</w:t>
      </w:r>
      <w:r w:rsidRPr="002C4A74">
        <w:rPr>
          <w:sz w:val="22"/>
          <w:szCs w:val="22"/>
        </w:rPr>
        <w:t>iclo del SED:</w:t>
      </w:r>
    </w:p>
    <w:p w:rsidR="00344AE8" w:rsidRPr="002C4A74" w:rsidRDefault="00344AE8" w:rsidP="00344AE8">
      <w:pPr>
        <w:pStyle w:val="Default"/>
        <w:jc w:val="both"/>
        <w:rPr>
          <w:lang w:val="es-MX"/>
        </w:rPr>
      </w:pPr>
    </w:p>
    <w:p w:rsidR="00344AE8" w:rsidRDefault="00344AE8" w:rsidP="00344AE8">
      <w:pPr>
        <w:pStyle w:val="Default"/>
        <w:jc w:val="both"/>
        <w:rPr>
          <w:b/>
          <w:bCs/>
          <w:lang w:val="es-MX"/>
        </w:rPr>
      </w:pPr>
      <w:r>
        <w:rPr>
          <w:b/>
          <w:bCs/>
          <w:noProof/>
          <w:lang w:val="es-MX" w:eastAsia="es-MX"/>
        </w:rPr>
        <w:lastRenderedPageBreak/>
        <w:drawing>
          <wp:inline distT="0" distB="0" distL="0" distR="0" wp14:anchorId="13FA900D" wp14:editId="0E74F4EE">
            <wp:extent cx="4611757" cy="2601595"/>
            <wp:effectExtent l="0" t="0" r="0" b="27305"/>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344AE8" w:rsidRDefault="00344AE8" w:rsidP="00344AE8">
      <w:pPr>
        <w:pStyle w:val="Default"/>
        <w:jc w:val="both"/>
        <w:rPr>
          <w:b/>
          <w:bCs/>
          <w:lang w:val="es-MX"/>
        </w:rPr>
      </w:pPr>
    </w:p>
    <w:p w:rsidR="00344AE8" w:rsidRDefault="00344AE8" w:rsidP="00344AE8">
      <w:pPr>
        <w:pStyle w:val="Default"/>
        <w:jc w:val="both"/>
        <w:rPr>
          <w:rStyle w:val="A3"/>
        </w:rPr>
      </w:pPr>
    </w:p>
    <w:p w:rsidR="00344AE8" w:rsidRPr="00CD41DF" w:rsidRDefault="008A736E" w:rsidP="00344AE8">
      <w:pPr>
        <w:pStyle w:val="Default"/>
        <w:jc w:val="both"/>
        <w:rPr>
          <w:color w:val="auto"/>
          <w:sz w:val="22"/>
          <w:szCs w:val="22"/>
        </w:rPr>
      </w:pPr>
      <w:r>
        <w:rPr>
          <w:color w:val="auto"/>
          <w:sz w:val="22"/>
          <w:szCs w:val="22"/>
        </w:rPr>
        <w:t>El SE</w:t>
      </w:r>
      <w:r w:rsidR="00344AE8">
        <w:rPr>
          <w:color w:val="auto"/>
          <w:sz w:val="22"/>
          <w:szCs w:val="22"/>
        </w:rPr>
        <w:t>, en su mayor consolidación</w:t>
      </w:r>
      <w:r>
        <w:rPr>
          <w:color w:val="auto"/>
          <w:sz w:val="22"/>
          <w:szCs w:val="22"/>
        </w:rPr>
        <w:t>,</w:t>
      </w:r>
      <w:r w:rsidR="00344AE8">
        <w:rPr>
          <w:color w:val="auto"/>
          <w:sz w:val="22"/>
          <w:szCs w:val="22"/>
        </w:rPr>
        <w:t xml:space="preserve"> </w:t>
      </w:r>
      <w:r w:rsidR="00344AE8" w:rsidRPr="00CD41DF">
        <w:rPr>
          <w:color w:val="auto"/>
          <w:sz w:val="22"/>
          <w:szCs w:val="22"/>
        </w:rPr>
        <w:t xml:space="preserve">brindará la información necesaria para valorar objetivamente y mejorar de manera continua el desempeño de las políticas Públicas de los Pp, así como para determinar el impacto que los recursos públicos tienen en el bienestar de la población. </w:t>
      </w:r>
    </w:p>
    <w:p w:rsidR="00344AE8" w:rsidRPr="008A736E" w:rsidRDefault="00344AE8" w:rsidP="00344AE8">
      <w:pPr>
        <w:pStyle w:val="Default"/>
      </w:pPr>
    </w:p>
    <w:p w:rsidR="00344AE8" w:rsidRPr="00344AE8" w:rsidRDefault="00344AE8" w:rsidP="00FF5193">
      <w:pPr>
        <w:pStyle w:val="Default"/>
        <w:rPr>
          <w:color w:val="auto"/>
          <w:sz w:val="22"/>
          <w:szCs w:val="22"/>
          <w:lang w:val="es-MX"/>
        </w:rPr>
      </w:pPr>
    </w:p>
    <w:p w:rsidR="00D2297A" w:rsidRPr="006932EC" w:rsidRDefault="00171BEE" w:rsidP="00D2297A">
      <w:pPr>
        <w:pStyle w:val="Default"/>
        <w:rPr>
          <w:b/>
          <w:bCs/>
        </w:rPr>
      </w:pPr>
      <w:r>
        <w:rPr>
          <w:b/>
          <w:bCs/>
        </w:rPr>
        <w:t>6</w:t>
      </w:r>
      <w:r w:rsidR="00D2297A" w:rsidRPr="006932EC">
        <w:rPr>
          <w:b/>
          <w:bCs/>
        </w:rPr>
        <w:t xml:space="preserve">. Matriz de Indicadores de Resultados (MIR) </w:t>
      </w:r>
    </w:p>
    <w:p w:rsidR="00D2297A" w:rsidRDefault="00D2297A" w:rsidP="00D2297A">
      <w:pPr>
        <w:pStyle w:val="Default"/>
        <w:rPr>
          <w:color w:val="auto"/>
          <w:sz w:val="23"/>
          <w:szCs w:val="23"/>
        </w:rPr>
      </w:pPr>
    </w:p>
    <w:p w:rsidR="006D4FE0" w:rsidRDefault="00344AE8" w:rsidP="006D4FE0">
      <w:pPr>
        <w:pStyle w:val="Default"/>
        <w:jc w:val="both"/>
        <w:rPr>
          <w:color w:val="auto"/>
          <w:sz w:val="22"/>
          <w:szCs w:val="22"/>
        </w:rPr>
      </w:pPr>
      <w:r>
        <w:rPr>
          <w:color w:val="auto"/>
          <w:sz w:val="22"/>
          <w:szCs w:val="22"/>
        </w:rPr>
        <w:t>D</w:t>
      </w:r>
      <w:r w:rsidR="006D4FE0">
        <w:rPr>
          <w:color w:val="auto"/>
          <w:sz w:val="22"/>
          <w:szCs w:val="22"/>
        </w:rPr>
        <w:t xml:space="preserve">entro del </w:t>
      </w:r>
      <w:proofErr w:type="spellStart"/>
      <w:r w:rsidR="006D4FE0">
        <w:rPr>
          <w:color w:val="auto"/>
          <w:sz w:val="22"/>
          <w:szCs w:val="22"/>
        </w:rPr>
        <w:t>PbR</w:t>
      </w:r>
      <w:proofErr w:type="spellEnd"/>
      <w:r>
        <w:rPr>
          <w:color w:val="auto"/>
          <w:sz w:val="22"/>
          <w:szCs w:val="22"/>
        </w:rPr>
        <w:t>,</w:t>
      </w:r>
      <w:r w:rsidR="006D4FE0">
        <w:rPr>
          <w:color w:val="auto"/>
          <w:sz w:val="22"/>
          <w:szCs w:val="22"/>
        </w:rPr>
        <w:t xml:space="preserve"> l</w:t>
      </w:r>
      <w:r w:rsidR="006D4FE0" w:rsidRPr="00CD41DF">
        <w:rPr>
          <w:color w:val="auto"/>
          <w:sz w:val="22"/>
          <w:szCs w:val="22"/>
        </w:rPr>
        <w:t>os indicadores estratégicos y de gestión forman parte de la</w:t>
      </w:r>
      <w:r w:rsidR="006D4FE0" w:rsidRPr="00CD41DF">
        <w:rPr>
          <w:b/>
          <w:bCs/>
          <w:lang w:val="es-MX"/>
        </w:rPr>
        <w:t xml:space="preserve"> </w:t>
      </w:r>
      <w:r w:rsidR="006D4FE0" w:rsidRPr="00CD41DF">
        <w:rPr>
          <w:color w:val="auto"/>
          <w:sz w:val="22"/>
          <w:szCs w:val="22"/>
        </w:rPr>
        <w:t xml:space="preserve">Matriz </w:t>
      </w:r>
      <w:r w:rsidR="006D4FE0">
        <w:rPr>
          <w:color w:val="auto"/>
          <w:sz w:val="22"/>
          <w:szCs w:val="22"/>
        </w:rPr>
        <w:t>de Indicadores de</w:t>
      </w:r>
      <w:r>
        <w:rPr>
          <w:color w:val="auto"/>
          <w:sz w:val="22"/>
          <w:szCs w:val="22"/>
        </w:rPr>
        <w:t xml:space="preserve"> Resultados (MIR) de</w:t>
      </w:r>
      <w:r w:rsidR="006D4FE0">
        <w:rPr>
          <w:color w:val="auto"/>
          <w:sz w:val="22"/>
          <w:szCs w:val="22"/>
        </w:rPr>
        <w:t xml:space="preserve"> cada programa y</w:t>
      </w:r>
      <w:r w:rsidR="006D4FE0" w:rsidRPr="00CD41DF">
        <w:rPr>
          <w:color w:val="auto"/>
          <w:sz w:val="22"/>
          <w:szCs w:val="22"/>
        </w:rPr>
        <w:t xml:space="preserve"> son la herramienta que entrega la información del desempeño</w:t>
      </w:r>
      <w:r w:rsidR="006D4FE0">
        <w:rPr>
          <w:color w:val="auto"/>
          <w:sz w:val="22"/>
          <w:szCs w:val="22"/>
        </w:rPr>
        <w:t xml:space="preserve"> de los mismos</w:t>
      </w:r>
      <w:r w:rsidR="006D4FE0" w:rsidRPr="00CD41DF">
        <w:rPr>
          <w:color w:val="auto"/>
          <w:sz w:val="22"/>
          <w:szCs w:val="22"/>
        </w:rPr>
        <w:t>.</w:t>
      </w:r>
    </w:p>
    <w:p w:rsidR="006D4FE0" w:rsidRDefault="006D4FE0" w:rsidP="00D2297A">
      <w:pPr>
        <w:pStyle w:val="Default"/>
        <w:jc w:val="both"/>
        <w:rPr>
          <w:color w:val="auto"/>
          <w:sz w:val="22"/>
          <w:szCs w:val="22"/>
        </w:rPr>
      </w:pPr>
    </w:p>
    <w:p w:rsidR="006D4FE0" w:rsidRDefault="006D4FE0" w:rsidP="006D4FE0">
      <w:pPr>
        <w:pStyle w:val="Default"/>
        <w:jc w:val="center"/>
        <w:rPr>
          <w:color w:val="auto"/>
          <w:sz w:val="22"/>
          <w:szCs w:val="22"/>
        </w:rPr>
      </w:pPr>
      <w:r w:rsidRPr="006A0F5D">
        <w:drawing>
          <wp:inline distT="0" distB="0" distL="0" distR="0" wp14:anchorId="4FA3D18B" wp14:editId="5AAAB0EA">
            <wp:extent cx="2416944" cy="1924216"/>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19587" cy="1926320"/>
                    </a:xfrm>
                    <a:prstGeom prst="rect">
                      <a:avLst/>
                    </a:prstGeom>
                    <a:noFill/>
                    <a:ln>
                      <a:noFill/>
                    </a:ln>
                  </pic:spPr>
                </pic:pic>
              </a:graphicData>
            </a:graphic>
          </wp:inline>
        </w:drawing>
      </w:r>
    </w:p>
    <w:p w:rsidR="008A736E" w:rsidRDefault="008A736E" w:rsidP="00D2297A">
      <w:pPr>
        <w:pStyle w:val="Default"/>
        <w:jc w:val="both"/>
        <w:rPr>
          <w:color w:val="auto"/>
          <w:sz w:val="22"/>
          <w:szCs w:val="22"/>
        </w:rPr>
      </w:pPr>
    </w:p>
    <w:p w:rsidR="00D2297A" w:rsidRDefault="00D2297A" w:rsidP="00D2297A">
      <w:pPr>
        <w:pStyle w:val="Default"/>
        <w:jc w:val="both"/>
        <w:rPr>
          <w:color w:val="auto"/>
          <w:sz w:val="22"/>
          <w:szCs w:val="22"/>
        </w:rPr>
      </w:pPr>
      <w:r>
        <w:rPr>
          <w:color w:val="auto"/>
          <w:sz w:val="22"/>
          <w:szCs w:val="22"/>
        </w:rPr>
        <w:t>Conforme a lo anterior, las dependencias y entidades deberán elaborar, revisar y, en su caso, actualizar las MIR de cada Pp</w:t>
      </w:r>
      <w:r w:rsidR="00344AE8">
        <w:rPr>
          <w:color w:val="auto"/>
          <w:sz w:val="22"/>
          <w:szCs w:val="22"/>
        </w:rPr>
        <w:t xml:space="preserve"> en base a la Metodología de Marco Lógico (MML)</w:t>
      </w:r>
      <w:r>
        <w:rPr>
          <w:color w:val="auto"/>
          <w:sz w:val="22"/>
          <w:szCs w:val="22"/>
        </w:rPr>
        <w:t xml:space="preserve">. Lo anterior deberá realizarse conforme a las disposiciones que emitan la SPPP, asimismo considerando la información que resulte de las evaluaciones que se hayan realizado en el marco del presente PAE y del Sistema de Evaluación de Desempeño (SED) en general. </w:t>
      </w:r>
    </w:p>
    <w:p w:rsidR="00D2297A" w:rsidRDefault="00D2297A" w:rsidP="00D2297A">
      <w:pPr>
        <w:pStyle w:val="Default"/>
        <w:jc w:val="both"/>
        <w:rPr>
          <w:color w:val="auto"/>
          <w:sz w:val="22"/>
          <w:szCs w:val="22"/>
        </w:rPr>
      </w:pPr>
    </w:p>
    <w:p w:rsidR="00D2297A" w:rsidRDefault="00D2297A" w:rsidP="00D2297A">
      <w:pPr>
        <w:pStyle w:val="Default"/>
        <w:jc w:val="both"/>
        <w:rPr>
          <w:color w:val="auto"/>
          <w:sz w:val="22"/>
          <w:szCs w:val="22"/>
        </w:rPr>
      </w:pPr>
      <w:r>
        <w:rPr>
          <w:color w:val="auto"/>
          <w:sz w:val="22"/>
          <w:szCs w:val="22"/>
        </w:rPr>
        <w:t xml:space="preserve">Durante el ejercicio 2014 se continuará el proceso de revisión y/o aprobación de indicadores. Las mejoras a la MIR deberán incorporar las observaciones que, en el ámbito de sus respectivas competencias, realicen la SPPP y la SCG-UCE. </w:t>
      </w:r>
    </w:p>
    <w:p w:rsidR="002535A5" w:rsidRDefault="002535A5" w:rsidP="00F778DF">
      <w:pPr>
        <w:pStyle w:val="Default"/>
      </w:pPr>
    </w:p>
    <w:p w:rsidR="00F778DF" w:rsidRPr="006932EC" w:rsidRDefault="00171BEE" w:rsidP="00F778DF">
      <w:pPr>
        <w:pStyle w:val="Default"/>
        <w:rPr>
          <w:b/>
          <w:bCs/>
        </w:rPr>
      </w:pPr>
      <w:r>
        <w:rPr>
          <w:b/>
          <w:bCs/>
        </w:rPr>
        <w:lastRenderedPageBreak/>
        <w:t>7</w:t>
      </w:r>
      <w:r w:rsidR="00F778DF" w:rsidRPr="006932EC">
        <w:rPr>
          <w:b/>
          <w:bCs/>
        </w:rPr>
        <w:t xml:space="preserve">. Tipos de Evaluación </w:t>
      </w:r>
    </w:p>
    <w:p w:rsidR="00F778DF" w:rsidRDefault="00F778DF" w:rsidP="00F778DF">
      <w:pPr>
        <w:pStyle w:val="Default"/>
        <w:rPr>
          <w:color w:val="auto"/>
          <w:sz w:val="23"/>
          <w:szCs w:val="23"/>
        </w:rPr>
      </w:pPr>
    </w:p>
    <w:p w:rsidR="00F778DF" w:rsidRDefault="00F778DF" w:rsidP="00AE5B71">
      <w:pPr>
        <w:pStyle w:val="Default"/>
        <w:jc w:val="both"/>
        <w:rPr>
          <w:color w:val="auto"/>
          <w:sz w:val="22"/>
          <w:szCs w:val="22"/>
        </w:rPr>
      </w:pPr>
      <w:r>
        <w:rPr>
          <w:color w:val="auto"/>
          <w:sz w:val="22"/>
          <w:szCs w:val="22"/>
        </w:rPr>
        <w:t xml:space="preserve">Los tipos de evaluación externa a considerarse para los </w:t>
      </w:r>
      <w:r w:rsidR="00AE5B71">
        <w:rPr>
          <w:color w:val="auto"/>
          <w:sz w:val="22"/>
          <w:szCs w:val="22"/>
        </w:rPr>
        <w:t>Pp</w:t>
      </w:r>
      <w:r>
        <w:rPr>
          <w:color w:val="auto"/>
          <w:sz w:val="22"/>
          <w:szCs w:val="22"/>
        </w:rPr>
        <w:t>, s</w:t>
      </w:r>
      <w:r w:rsidR="008927EA">
        <w:rPr>
          <w:color w:val="auto"/>
          <w:sz w:val="22"/>
          <w:szCs w:val="22"/>
        </w:rPr>
        <w:t>erán</w:t>
      </w:r>
      <w:r>
        <w:rPr>
          <w:color w:val="auto"/>
          <w:sz w:val="22"/>
          <w:szCs w:val="22"/>
        </w:rPr>
        <w:t xml:space="preserve"> l</w:t>
      </w:r>
      <w:r w:rsidR="008927EA">
        <w:rPr>
          <w:color w:val="auto"/>
          <w:sz w:val="22"/>
          <w:szCs w:val="22"/>
        </w:rPr>
        <w:t>as definida</w:t>
      </w:r>
      <w:r>
        <w:rPr>
          <w:color w:val="auto"/>
          <w:sz w:val="22"/>
          <w:szCs w:val="22"/>
        </w:rPr>
        <w:t>s en los “Lineamientos Federales”</w:t>
      </w:r>
      <w:r w:rsidR="008927EA">
        <w:rPr>
          <w:rStyle w:val="Refdenotaalpie"/>
          <w:color w:val="auto"/>
          <w:sz w:val="22"/>
          <w:szCs w:val="22"/>
        </w:rPr>
        <w:footnoteReference w:id="2"/>
      </w:r>
      <w:r>
        <w:rPr>
          <w:color w:val="auto"/>
          <w:sz w:val="22"/>
          <w:szCs w:val="22"/>
        </w:rPr>
        <w:t xml:space="preserve">, los cuales </w:t>
      </w:r>
      <w:r w:rsidR="00AE5B71">
        <w:rPr>
          <w:color w:val="auto"/>
          <w:sz w:val="22"/>
          <w:szCs w:val="22"/>
        </w:rPr>
        <w:t>a continuación se describen de manera general</w:t>
      </w:r>
      <w:r>
        <w:rPr>
          <w:color w:val="auto"/>
          <w:sz w:val="22"/>
          <w:szCs w:val="22"/>
        </w:rPr>
        <w:t xml:space="preserve">: </w:t>
      </w:r>
    </w:p>
    <w:p w:rsidR="008927EA" w:rsidRDefault="008927EA" w:rsidP="00F778DF">
      <w:pPr>
        <w:pStyle w:val="Default"/>
        <w:rPr>
          <w:color w:val="auto"/>
          <w:sz w:val="22"/>
          <w:szCs w:val="22"/>
        </w:rPr>
      </w:pPr>
    </w:p>
    <w:p w:rsidR="00F778DF" w:rsidRDefault="00F778DF" w:rsidP="00F778DF">
      <w:pPr>
        <w:pStyle w:val="Default"/>
        <w:rPr>
          <w:color w:val="auto"/>
          <w:sz w:val="22"/>
          <w:szCs w:val="22"/>
        </w:rPr>
      </w:pPr>
      <w:r>
        <w:rPr>
          <w:color w:val="auto"/>
          <w:sz w:val="22"/>
          <w:szCs w:val="22"/>
        </w:rPr>
        <w:t xml:space="preserve">a) Mejora continua de programas y políticas: </w:t>
      </w:r>
    </w:p>
    <w:p w:rsidR="00F778DF" w:rsidRDefault="00F778DF" w:rsidP="00F778DF">
      <w:pPr>
        <w:pStyle w:val="Default"/>
        <w:rPr>
          <w:color w:val="auto"/>
          <w:sz w:val="22"/>
          <w:szCs w:val="22"/>
        </w:rPr>
      </w:pPr>
    </w:p>
    <w:p w:rsidR="00F778DF" w:rsidRDefault="00F778DF" w:rsidP="008927EA">
      <w:pPr>
        <w:pStyle w:val="Default"/>
        <w:numPr>
          <w:ilvl w:val="0"/>
          <w:numId w:val="6"/>
        </w:numPr>
        <w:jc w:val="both"/>
        <w:rPr>
          <w:color w:val="auto"/>
          <w:sz w:val="22"/>
          <w:szCs w:val="22"/>
        </w:rPr>
      </w:pPr>
      <w:r>
        <w:rPr>
          <w:color w:val="auto"/>
          <w:sz w:val="22"/>
          <w:szCs w:val="22"/>
        </w:rPr>
        <w:t xml:space="preserve">De Consistencia y Resultados.- Analiza sistemáticamente el diseño y desempeño global de los programas , para mejorar su gestión y medir el logro de sus resultados con base en la matriz de indicadores; según los </w:t>
      </w:r>
      <w:proofErr w:type="spellStart"/>
      <w:r>
        <w:rPr>
          <w:color w:val="auto"/>
          <w:sz w:val="22"/>
          <w:szCs w:val="22"/>
        </w:rPr>
        <w:t>TdR</w:t>
      </w:r>
      <w:proofErr w:type="spellEnd"/>
      <w:r>
        <w:rPr>
          <w:color w:val="auto"/>
          <w:sz w:val="22"/>
          <w:szCs w:val="22"/>
        </w:rPr>
        <w:t xml:space="preserve"> de la CONEVAL, esta evaluación se divide en: </w:t>
      </w:r>
    </w:p>
    <w:p w:rsidR="00F778DF" w:rsidRDefault="00F778DF" w:rsidP="00F778DF">
      <w:pPr>
        <w:pStyle w:val="Default"/>
        <w:rPr>
          <w:color w:val="auto"/>
          <w:sz w:val="22"/>
          <w:szCs w:val="22"/>
        </w:rPr>
      </w:pPr>
    </w:p>
    <w:p w:rsidR="00F778DF" w:rsidRDefault="00F778DF" w:rsidP="008927EA">
      <w:pPr>
        <w:pStyle w:val="Default"/>
        <w:spacing w:after="17"/>
        <w:ind w:left="708"/>
        <w:rPr>
          <w:color w:val="auto"/>
          <w:sz w:val="22"/>
          <w:szCs w:val="22"/>
        </w:rPr>
      </w:pPr>
      <w:r>
        <w:rPr>
          <w:color w:val="auto"/>
          <w:sz w:val="22"/>
          <w:szCs w:val="22"/>
        </w:rPr>
        <w:t xml:space="preserve">1. Diseño </w:t>
      </w:r>
    </w:p>
    <w:p w:rsidR="00F778DF" w:rsidRDefault="00F778DF" w:rsidP="008927EA">
      <w:pPr>
        <w:pStyle w:val="Default"/>
        <w:spacing w:after="17"/>
        <w:ind w:left="708"/>
        <w:rPr>
          <w:color w:val="auto"/>
          <w:sz w:val="22"/>
          <w:szCs w:val="22"/>
        </w:rPr>
      </w:pPr>
      <w:r>
        <w:rPr>
          <w:color w:val="auto"/>
          <w:sz w:val="22"/>
          <w:szCs w:val="22"/>
        </w:rPr>
        <w:t xml:space="preserve">2. Planeación y orientación a resultados </w:t>
      </w:r>
    </w:p>
    <w:p w:rsidR="00F778DF" w:rsidRDefault="00F778DF" w:rsidP="008927EA">
      <w:pPr>
        <w:pStyle w:val="Default"/>
        <w:spacing w:after="17"/>
        <w:ind w:left="708"/>
        <w:rPr>
          <w:color w:val="auto"/>
          <w:sz w:val="22"/>
          <w:szCs w:val="22"/>
        </w:rPr>
      </w:pPr>
      <w:r>
        <w:rPr>
          <w:color w:val="auto"/>
          <w:sz w:val="22"/>
          <w:szCs w:val="22"/>
        </w:rPr>
        <w:t xml:space="preserve">3. Cobertura y Focalización </w:t>
      </w:r>
    </w:p>
    <w:p w:rsidR="00F778DF" w:rsidRDefault="00F778DF" w:rsidP="008927EA">
      <w:pPr>
        <w:pStyle w:val="Default"/>
        <w:spacing w:after="17"/>
        <w:ind w:left="708"/>
        <w:rPr>
          <w:color w:val="auto"/>
          <w:sz w:val="22"/>
          <w:szCs w:val="22"/>
        </w:rPr>
      </w:pPr>
      <w:r>
        <w:rPr>
          <w:color w:val="auto"/>
          <w:sz w:val="22"/>
          <w:szCs w:val="22"/>
        </w:rPr>
        <w:t xml:space="preserve">4. Operación </w:t>
      </w:r>
    </w:p>
    <w:p w:rsidR="00F778DF" w:rsidRDefault="00F778DF" w:rsidP="008927EA">
      <w:pPr>
        <w:pStyle w:val="Default"/>
        <w:spacing w:after="17"/>
        <w:ind w:left="708"/>
        <w:rPr>
          <w:color w:val="auto"/>
          <w:sz w:val="22"/>
          <w:szCs w:val="22"/>
        </w:rPr>
      </w:pPr>
      <w:r>
        <w:rPr>
          <w:color w:val="auto"/>
          <w:sz w:val="22"/>
          <w:szCs w:val="22"/>
        </w:rPr>
        <w:t xml:space="preserve">5. Percepción de la población objetivo </w:t>
      </w:r>
    </w:p>
    <w:p w:rsidR="00F778DF" w:rsidRDefault="00F778DF" w:rsidP="008927EA">
      <w:pPr>
        <w:pStyle w:val="Default"/>
        <w:ind w:left="708"/>
        <w:rPr>
          <w:color w:val="auto"/>
          <w:sz w:val="22"/>
          <w:szCs w:val="22"/>
        </w:rPr>
      </w:pPr>
      <w:r>
        <w:rPr>
          <w:color w:val="auto"/>
          <w:sz w:val="22"/>
          <w:szCs w:val="22"/>
        </w:rPr>
        <w:t xml:space="preserve">6. Medición de Resultados </w:t>
      </w:r>
    </w:p>
    <w:p w:rsidR="00F778DF" w:rsidRPr="00852F42" w:rsidRDefault="00F778DF" w:rsidP="00F778DF">
      <w:pPr>
        <w:pStyle w:val="Default"/>
        <w:rPr>
          <w:color w:val="auto"/>
          <w:sz w:val="22"/>
          <w:szCs w:val="22"/>
        </w:rPr>
      </w:pPr>
    </w:p>
    <w:p w:rsidR="00F778DF" w:rsidRDefault="00F778DF" w:rsidP="00852F42">
      <w:pPr>
        <w:pStyle w:val="Default"/>
        <w:numPr>
          <w:ilvl w:val="0"/>
          <w:numId w:val="6"/>
        </w:numPr>
        <w:rPr>
          <w:color w:val="auto"/>
          <w:sz w:val="22"/>
          <w:szCs w:val="22"/>
        </w:rPr>
      </w:pPr>
      <w:r>
        <w:rPr>
          <w:color w:val="auto"/>
          <w:sz w:val="22"/>
          <w:szCs w:val="22"/>
        </w:rPr>
        <w:t xml:space="preserve">De indicadores.- Analiza mediante trabajo de campo la pertinencia y alcance de los indicadores de un programa para el logro de Resultados. </w:t>
      </w:r>
    </w:p>
    <w:p w:rsidR="00B835AF" w:rsidRDefault="00B835AF" w:rsidP="00852F42">
      <w:pPr>
        <w:pStyle w:val="Default"/>
        <w:numPr>
          <w:ilvl w:val="0"/>
          <w:numId w:val="6"/>
        </w:numPr>
        <w:rPr>
          <w:color w:val="auto"/>
          <w:sz w:val="22"/>
          <w:szCs w:val="22"/>
        </w:rPr>
      </w:pPr>
    </w:p>
    <w:p w:rsidR="00F778DF" w:rsidRDefault="00F778DF" w:rsidP="00B835AF">
      <w:pPr>
        <w:pStyle w:val="Default"/>
        <w:numPr>
          <w:ilvl w:val="0"/>
          <w:numId w:val="6"/>
        </w:numPr>
        <w:jc w:val="both"/>
        <w:rPr>
          <w:color w:val="auto"/>
          <w:sz w:val="22"/>
          <w:szCs w:val="22"/>
        </w:rPr>
      </w:pPr>
      <w:r>
        <w:rPr>
          <w:color w:val="auto"/>
          <w:sz w:val="22"/>
          <w:szCs w:val="22"/>
        </w:rPr>
        <w:t xml:space="preserve">De procesos.- Analiza mediante trabajo de campo si el programa lleva acabo sus procesos operativos de manera eficaz y eficiente y si contribuye al mejoramiento de la gestión. </w:t>
      </w:r>
    </w:p>
    <w:p w:rsidR="00F778DF" w:rsidRDefault="00F778DF" w:rsidP="00F778DF">
      <w:pPr>
        <w:pStyle w:val="Default"/>
        <w:rPr>
          <w:color w:val="auto"/>
          <w:sz w:val="22"/>
          <w:szCs w:val="22"/>
        </w:rPr>
      </w:pPr>
    </w:p>
    <w:p w:rsidR="00F778DF" w:rsidRDefault="00F778DF" w:rsidP="00852F42">
      <w:pPr>
        <w:pStyle w:val="Default"/>
        <w:numPr>
          <w:ilvl w:val="0"/>
          <w:numId w:val="6"/>
        </w:numPr>
        <w:rPr>
          <w:color w:val="auto"/>
          <w:sz w:val="22"/>
          <w:szCs w:val="22"/>
        </w:rPr>
      </w:pPr>
      <w:r>
        <w:rPr>
          <w:color w:val="auto"/>
          <w:sz w:val="22"/>
          <w:szCs w:val="22"/>
        </w:rPr>
        <w:t xml:space="preserve">Específicas.- Aquellas evaluaciones no comprendidas en los “Lineamientos Federales” y que se realizarán mediante trabajo de gabinete y/o de campo. </w:t>
      </w:r>
    </w:p>
    <w:p w:rsidR="00F778DF" w:rsidRDefault="00F778DF" w:rsidP="00F778DF">
      <w:pPr>
        <w:pStyle w:val="Default"/>
        <w:rPr>
          <w:color w:val="auto"/>
          <w:sz w:val="22"/>
          <w:szCs w:val="22"/>
        </w:rPr>
      </w:pPr>
    </w:p>
    <w:p w:rsidR="00F778DF" w:rsidRDefault="00F778DF" w:rsidP="00F778DF">
      <w:pPr>
        <w:pStyle w:val="Default"/>
        <w:rPr>
          <w:color w:val="auto"/>
          <w:sz w:val="22"/>
          <w:szCs w:val="22"/>
        </w:rPr>
      </w:pPr>
      <w:r>
        <w:rPr>
          <w:color w:val="auto"/>
          <w:sz w:val="22"/>
          <w:szCs w:val="22"/>
        </w:rPr>
        <w:t xml:space="preserve">b) Impacto social y económico del gasto: </w:t>
      </w:r>
    </w:p>
    <w:p w:rsidR="00F778DF" w:rsidRDefault="00F778DF" w:rsidP="00F778DF">
      <w:pPr>
        <w:pStyle w:val="Default"/>
        <w:rPr>
          <w:color w:val="auto"/>
          <w:sz w:val="22"/>
          <w:szCs w:val="22"/>
        </w:rPr>
      </w:pPr>
    </w:p>
    <w:p w:rsidR="00F778DF" w:rsidRDefault="00F778DF" w:rsidP="00852F42">
      <w:pPr>
        <w:pStyle w:val="Default"/>
        <w:numPr>
          <w:ilvl w:val="0"/>
          <w:numId w:val="6"/>
        </w:numPr>
        <w:rPr>
          <w:color w:val="auto"/>
          <w:sz w:val="22"/>
          <w:szCs w:val="22"/>
        </w:rPr>
      </w:pPr>
      <w:r>
        <w:rPr>
          <w:color w:val="auto"/>
          <w:sz w:val="22"/>
          <w:szCs w:val="22"/>
        </w:rPr>
        <w:t xml:space="preserve">De impacto.- Identifica con metodología rigurosa el cambio en los indicadores a nivel de resultados atribuible a la ejecución del programa. </w:t>
      </w:r>
    </w:p>
    <w:p w:rsidR="00F778DF" w:rsidRDefault="00F778DF" w:rsidP="00F778DF">
      <w:pPr>
        <w:pStyle w:val="Default"/>
        <w:rPr>
          <w:color w:val="auto"/>
          <w:sz w:val="22"/>
          <w:szCs w:val="22"/>
        </w:rPr>
      </w:pPr>
    </w:p>
    <w:p w:rsidR="00F778DF" w:rsidRDefault="00F778DF" w:rsidP="00852F42">
      <w:pPr>
        <w:pStyle w:val="Default"/>
        <w:numPr>
          <w:ilvl w:val="0"/>
          <w:numId w:val="6"/>
        </w:numPr>
        <w:rPr>
          <w:color w:val="auto"/>
          <w:sz w:val="22"/>
          <w:szCs w:val="22"/>
        </w:rPr>
      </w:pPr>
      <w:r>
        <w:rPr>
          <w:color w:val="auto"/>
          <w:sz w:val="22"/>
          <w:szCs w:val="22"/>
        </w:rPr>
        <w:t xml:space="preserve">Estratégicas.- Evaluaciones que se aplican a un programa o conjunto de programas en torno a las estrategias, políticas e instituciones. </w:t>
      </w:r>
    </w:p>
    <w:p w:rsidR="00F778DF" w:rsidRDefault="00F778DF" w:rsidP="00F778DF">
      <w:pPr>
        <w:pStyle w:val="Default"/>
        <w:rPr>
          <w:color w:val="auto"/>
          <w:sz w:val="22"/>
          <w:szCs w:val="22"/>
        </w:rPr>
      </w:pPr>
    </w:p>
    <w:p w:rsidR="007D161C" w:rsidRDefault="007D161C" w:rsidP="00F778DF">
      <w:pPr>
        <w:pStyle w:val="Default"/>
        <w:rPr>
          <w:color w:val="auto"/>
          <w:sz w:val="22"/>
          <w:szCs w:val="22"/>
        </w:rPr>
      </w:pPr>
      <w:r>
        <w:rPr>
          <w:color w:val="auto"/>
          <w:sz w:val="22"/>
          <w:szCs w:val="22"/>
        </w:rPr>
        <w:t>El tipo de evaluación que se realice será según el grado de consolidación alcanzado en el rubro de Consistencia de los Programas Presupuestales y según lo considere pertinente la SPPP.</w:t>
      </w:r>
    </w:p>
    <w:p w:rsidR="00D2297A" w:rsidRDefault="00D2297A" w:rsidP="00F778DF">
      <w:pPr>
        <w:pStyle w:val="Default"/>
        <w:rPr>
          <w:color w:val="auto"/>
          <w:sz w:val="22"/>
          <w:szCs w:val="22"/>
        </w:rPr>
      </w:pPr>
    </w:p>
    <w:p w:rsidR="00171BEE" w:rsidRDefault="00171BEE" w:rsidP="00F778DF">
      <w:pPr>
        <w:pStyle w:val="Default"/>
        <w:rPr>
          <w:b/>
          <w:bCs/>
        </w:rPr>
      </w:pPr>
    </w:p>
    <w:p w:rsidR="00F778DF" w:rsidRPr="006932EC" w:rsidRDefault="00E11968" w:rsidP="00F778DF">
      <w:pPr>
        <w:pStyle w:val="Default"/>
        <w:rPr>
          <w:b/>
          <w:bCs/>
        </w:rPr>
      </w:pPr>
      <w:r>
        <w:rPr>
          <w:b/>
          <w:bCs/>
        </w:rPr>
        <w:t>8</w:t>
      </w:r>
      <w:r w:rsidR="00F778DF" w:rsidRPr="006932EC">
        <w:rPr>
          <w:b/>
          <w:bCs/>
        </w:rPr>
        <w:t xml:space="preserve">. </w:t>
      </w:r>
      <w:r w:rsidR="00171BEE">
        <w:rPr>
          <w:b/>
          <w:bCs/>
        </w:rPr>
        <w:t xml:space="preserve">Definición de los </w:t>
      </w:r>
      <w:r w:rsidR="00F778DF" w:rsidRPr="006932EC">
        <w:rPr>
          <w:b/>
          <w:bCs/>
        </w:rPr>
        <w:t xml:space="preserve">Programas Presupuestales </w:t>
      </w:r>
      <w:r w:rsidR="00171BEE">
        <w:rPr>
          <w:b/>
          <w:bCs/>
        </w:rPr>
        <w:t>a ser evaluados</w:t>
      </w:r>
    </w:p>
    <w:p w:rsidR="00F778DF" w:rsidRDefault="00F778DF" w:rsidP="00F778DF">
      <w:pPr>
        <w:pStyle w:val="Default"/>
        <w:rPr>
          <w:color w:val="auto"/>
          <w:sz w:val="23"/>
          <w:szCs w:val="23"/>
        </w:rPr>
      </w:pPr>
    </w:p>
    <w:p w:rsidR="00F778DF" w:rsidRDefault="00F778DF" w:rsidP="00CA19C9">
      <w:pPr>
        <w:pStyle w:val="Default"/>
        <w:rPr>
          <w:color w:val="auto"/>
          <w:sz w:val="22"/>
          <w:szCs w:val="22"/>
        </w:rPr>
      </w:pPr>
      <w:r w:rsidRPr="00CA19C9">
        <w:rPr>
          <w:color w:val="auto"/>
          <w:sz w:val="22"/>
          <w:szCs w:val="22"/>
        </w:rPr>
        <w:t xml:space="preserve">Los </w:t>
      </w:r>
      <w:r w:rsidR="00A5503C" w:rsidRPr="00CA19C9">
        <w:rPr>
          <w:color w:val="auto"/>
          <w:sz w:val="22"/>
          <w:szCs w:val="22"/>
        </w:rPr>
        <w:t xml:space="preserve">Pp </w:t>
      </w:r>
      <w:r w:rsidRPr="00CA19C9">
        <w:rPr>
          <w:color w:val="auto"/>
          <w:sz w:val="22"/>
          <w:szCs w:val="22"/>
        </w:rPr>
        <w:t>a evaluarse para el ejercicio 201</w:t>
      </w:r>
      <w:r w:rsidR="00852F42" w:rsidRPr="00CA19C9">
        <w:rPr>
          <w:color w:val="auto"/>
          <w:sz w:val="22"/>
          <w:szCs w:val="22"/>
        </w:rPr>
        <w:t>4</w:t>
      </w:r>
      <w:r w:rsidRPr="00CA19C9">
        <w:rPr>
          <w:color w:val="auto"/>
          <w:sz w:val="22"/>
          <w:szCs w:val="22"/>
        </w:rPr>
        <w:t xml:space="preserve">, </w:t>
      </w:r>
      <w:r w:rsidR="00E35F34" w:rsidRPr="00CA19C9">
        <w:rPr>
          <w:color w:val="auto"/>
          <w:sz w:val="22"/>
          <w:szCs w:val="22"/>
        </w:rPr>
        <w:t>serán los financiados total o parcialmente a través de los recu</w:t>
      </w:r>
      <w:r w:rsidR="00A5503C" w:rsidRPr="00CA19C9">
        <w:rPr>
          <w:color w:val="auto"/>
          <w:sz w:val="22"/>
          <w:szCs w:val="22"/>
        </w:rPr>
        <w:t>rsos de los</w:t>
      </w:r>
      <w:r w:rsidRPr="00CA19C9">
        <w:rPr>
          <w:color w:val="auto"/>
          <w:sz w:val="22"/>
          <w:szCs w:val="22"/>
        </w:rPr>
        <w:t xml:space="preserve"> </w:t>
      </w:r>
      <w:r w:rsidR="00A5503C" w:rsidRPr="00CA19C9">
        <w:rPr>
          <w:color w:val="auto"/>
          <w:sz w:val="22"/>
          <w:szCs w:val="22"/>
        </w:rPr>
        <w:t xml:space="preserve">Fondos de Aportaciones Federales del </w:t>
      </w:r>
      <w:r w:rsidRPr="00CA19C9">
        <w:rPr>
          <w:color w:val="auto"/>
          <w:sz w:val="22"/>
          <w:szCs w:val="22"/>
        </w:rPr>
        <w:t>Ra</w:t>
      </w:r>
      <w:r w:rsidR="00A5503C" w:rsidRPr="00CA19C9">
        <w:rPr>
          <w:color w:val="auto"/>
          <w:sz w:val="22"/>
          <w:szCs w:val="22"/>
        </w:rPr>
        <w:t>mo 33; considerando solo para este año cinco de los ocho Fondos que lo conforman</w:t>
      </w:r>
      <w:r w:rsidRPr="00CA19C9">
        <w:rPr>
          <w:color w:val="auto"/>
          <w:sz w:val="22"/>
          <w:szCs w:val="22"/>
        </w:rPr>
        <w:t>:</w:t>
      </w:r>
      <w:r>
        <w:rPr>
          <w:color w:val="auto"/>
          <w:sz w:val="22"/>
          <w:szCs w:val="22"/>
        </w:rPr>
        <w:t xml:space="preserve"> </w:t>
      </w:r>
    </w:p>
    <w:p w:rsidR="002C4A74" w:rsidRDefault="002C4A74" w:rsidP="00F778DF">
      <w:pPr>
        <w:pStyle w:val="Default"/>
        <w:rPr>
          <w:color w:val="auto"/>
          <w:sz w:val="22"/>
          <w:szCs w:val="22"/>
        </w:rPr>
      </w:pPr>
    </w:p>
    <w:p w:rsidR="007D161C" w:rsidRDefault="002C4A74" w:rsidP="00E11968">
      <w:pPr>
        <w:pStyle w:val="Default"/>
        <w:ind w:left="284"/>
        <w:jc w:val="both"/>
        <w:rPr>
          <w:color w:val="auto"/>
          <w:sz w:val="22"/>
          <w:szCs w:val="22"/>
        </w:rPr>
      </w:pPr>
      <w:r w:rsidRPr="007D161C">
        <w:rPr>
          <w:b/>
          <w:color w:val="auto"/>
          <w:sz w:val="22"/>
          <w:szCs w:val="22"/>
        </w:rPr>
        <w:t>1) FAEB:</w:t>
      </w:r>
      <w:r w:rsidRPr="002C4A74">
        <w:rPr>
          <w:color w:val="auto"/>
          <w:sz w:val="22"/>
          <w:szCs w:val="22"/>
        </w:rPr>
        <w:t xml:space="preserve"> </w:t>
      </w:r>
      <w:r w:rsidR="007D161C" w:rsidRPr="007D161C">
        <w:rPr>
          <w:color w:val="auto"/>
          <w:sz w:val="22"/>
          <w:szCs w:val="22"/>
        </w:rPr>
        <w:t xml:space="preserve">Fondo de Aportaciones para la Educación Básica y Norma.- </w:t>
      </w:r>
      <w:r w:rsidRPr="002C4A74">
        <w:rPr>
          <w:color w:val="auto"/>
          <w:sz w:val="22"/>
          <w:szCs w:val="22"/>
        </w:rPr>
        <w:t xml:space="preserve">Prestación de Servicios Educativos, y Formación de Maestros; </w:t>
      </w:r>
    </w:p>
    <w:p w:rsidR="007D161C" w:rsidRPr="007D161C" w:rsidRDefault="002C4A74" w:rsidP="00E11968">
      <w:pPr>
        <w:pStyle w:val="Default"/>
        <w:ind w:left="284"/>
        <w:jc w:val="both"/>
        <w:rPr>
          <w:color w:val="auto"/>
          <w:sz w:val="22"/>
          <w:szCs w:val="22"/>
        </w:rPr>
      </w:pPr>
      <w:r w:rsidRPr="007D161C">
        <w:rPr>
          <w:b/>
          <w:color w:val="auto"/>
          <w:sz w:val="22"/>
          <w:szCs w:val="22"/>
        </w:rPr>
        <w:t>2) FASSA</w:t>
      </w:r>
      <w:r w:rsidR="007D161C" w:rsidRPr="007D161C">
        <w:rPr>
          <w:b/>
          <w:color w:val="auto"/>
          <w:sz w:val="22"/>
          <w:szCs w:val="22"/>
        </w:rPr>
        <w:t>:</w:t>
      </w:r>
      <w:r w:rsidRPr="002C4A74">
        <w:rPr>
          <w:color w:val="auto"/>
          <w:sz w:val="22"/>
          <w:szCs w:val="22"/>
        </w:rPr>
        <w:t xml:space="preserve"> </w:t>
      </w:r>
      <w:r w:rsidR="007D161C" w:rsidRPr="007D161C">
        <w:rPr>
          <w:color w:val="auto"/>
          <w:sz w:val="22"/>
          <w:szCs w:val="22"/>
        </w:rPr>
        <w:t>Fondo de Aportaciones para los Servicios de Salud</w:t>
      </w:r>
    </w:p>
    <w:p w:rsidR="007D161C" w:rsidRDefault="002C4A74" w:rsidP="00E11968">
      <w:pPr>
        <w:pStyle w:val="Default"/>
        <w:ind w:left="284"/>
        <w:jc w:val="both"/>
        <w:rPr>
          <w:color w:val="auto"/>
          <w:sz w:val="22"/>
          <w:szCs w:val="22"/>
        </w:rPr>
      </w:pPr>
      <w:r w:rsidRPr="007D161C">
        <w:rPr>
          <w:b/>
          <w:color w:val="auto"/>
          <w:sz w:val="22"/>
          <w:szCs w:val="22"/>
        </w:rPr>
        <w:lastRenderedPageBreak/>
        <w:t>3) FAM:</w:t>
      </w:r>
      <w:r w:rsidRPr="002C4A74">
        <w:rPr>
          <w:color w:val="auto"/>
          <w:sz w:val="22"/>
          <w:szCs w:val="22"/>
        </w:rPr>
        <w:t xml:space="preserve"> </w:t>
      </w:r>
      <w:r w:rsidR="007D161C">
        <w:rPr>
          <w:color w:val="auto"/>
          <w:sz w:val="22"/>
          <w:szCs w:val="22"/>
        </w:rPr>
        <w:t xml:space="preserve">Fondo de Aportaciones Múltiples.- </w:t>
      </w:r>
      <w:r w:rsidRPr="002C4A74">
        <w:rPr>
          <w:color w:val="auto"/>
          <w:sz w:val="22"/>
          <w:szCs w:val="22"/>
        </w:rPr>
        <w:t xml:space="preserve">Asistencia Social Alimentaria EIASA, e Infraestructura Educativa; </w:t>
      </w:r>
    </w:p>
    <w:p w:rsidR="002C4A74" w:rsidRPr="002C4A74" w:rsidRDefault="007D161C" w:rsidP="00E11968">
      <w:pPr>
        <w:pStyle w:val="Default"/>
        <w:ind w:left="284"/>
        <w:jc w:val="both"/>
        <w:rPr>
          <w:color w:val="auto"/>
          <w:sz w:val="22"/>
          <w:szCs w:val="22"/>
        </w:rPr>
      </w:pPr>
      <w:r w:rsidRPr="007D161C">
        <w:rPr>
          <w:b/>
          <w:color w:val="auto"/>
          <w:sz w:val="22"/>
          <w:szCs w:val="22"/>
        </w:rPr>
        <w:t>4) FAETA:</w:t>
      </w:r>
      <w:r w:rsidRPr="007D161C">
        <w:rPr>
          <w:color w:val="auto"/>
          <w:sz w:val="22"/>
          <w:szCs w:val="22"/>
        </w:rPr>
        <w:t xml:space="preserve"> Fondo de Aportaciones para la Educación Tecnológica y de Adultos.-</w:t>
      </w:r>
      <w:r w:rsidR="002C4A74" w:rsidRPr="002C4A74">
        <w:rPr>
          <w:color w:val="auto"/>
          <w:sz w:val="22"/>
          <w:szCs w:val="22"/>
        </w:rPr>
        <w:t xml:space="preserve">Servicios de Educación Tecnológica, y de Educación para Adultos; y </w:t>
      </w:r>
    </w:p>
    <w:p w:rsidR="007D161C" w:rsidRPr="007D161C" w:rsidRDefault="002C4A74" w:rsidP="00E11968">
      <w:pPr>
        <w:pStyle w:val="Default"/>
        <w:ind w:left="284"/>
        <w:jc w:val="both"/>
        <w:rPr>
          <w:color w:val="auto"/>
          <w:sz w:val="22"/>
          <w:szCs w:val="22"/>
        </w:rPr>
      </w:pPr>
      <w:r w:rsidRPr="007D161C">
        <w:rPr>
          <w:b/>
          <w:color w:val="auto"/>
          <w:sz w:val="22"/>
          <w:szCs w:val="22"/>
        </w:rPr>
        <w:t>5) FASP</w:t>
      </w:r>
      <w:r w:rsidR="007D161C">
        <w:rPr>
          <w:b/>
          <w:color w:val="auto"/>
          <w:sz w:val="22"/>
          <w:szCs w:val="22"/>
        </w:rPr>
        <w:t>:</w:t>
      </w:r>
      <w:r w:rsidRPr="007D161C">
        <w:rPr>
          <w:b/>
          <w:color w:val="auto"/>
          <w:sz w:val="22"/>
          <w:szCs w:val="22"/>
        </w:rPr>
        <w:t xml:space="preserve"> </w:t>
      </w:r>
      <w:r w:rsidR="007D161C" w:rsidRPr="007D161C">
        <w:rPr>
          <w:color w:val="auto"/>
          <w:sz w:val="22"/>
          <w:szCs w:val="22"/>
        </w:rPr>
        <w:t>Fondo de Aportaciones para la Seguridad Pública de los Estados</w:t>
      </w:r>
    </w:p>
    <w:p w:rsidR="002C4A74" w:rsidRPr="002C4A74" w:rsidRDefault="002C4A74" w:rsidP="002C4A74">
      <w:pPr>
        <w:pStyle w:val="Default"/>
        <w:jc w:val="both"/>
        <w:rPr>
          <w:color w:val="auto"/>
          <w:sz w:val="22"/>
          <w:szCs w:val="22"/>
        </w:rPr>
      </w:pPr>
    </w:p>
    <w:p w:rsidR="002C4A74" w:rsidRDefault="002C4A74" w:rsidP="002C4A74">
      <w:pPr>
        <w:pStyle w:val="Default"/>
        <w:jc w:val="both"/>
        <w:rPr>
          <w:color w:val="auto"/>
          <w:sz w:val="22"/>
          <w:szCs w:val="22"/>
        </w:rPr>
      </w:pPr>
      <w:r>
        <w:rPr>
          <w:color w:val="auto"/>
          <w:sz w:val="22"/>
          <w:szCs w:val="22"/>
        </w:rPr>
        <w:t xml:space="preserve">Para </w:t>
      </w:r>
      <w:r w:rsidR="007D161C" w:rsidRPr="002C4A74">
        <w:rPr>
          <w:color w:val="auto"/>
          <w:sz w:val="22"/>
          <w:szCs w:val="22"/>
        </w:rPr>
        <w:t xml:space="preserve">cada uno de los </w:t>
      </w:r>
      <w:r w:rsidR="007D161C">
        <w:rPr>
          <w:color w:val="auto"/>
          <w:sz w:val="22"/>
          <w:szCs w:val="22"/>
        </w:rPr>
        <w:t>Fondos antes mencionados</w:t>
      </w:r>
      <w:r w:rsidR="007D161C" w:rsidRPr="002C4A74">
        <w:rPr>
          <w:color w:val="auto"/>
          <w:sz w:val="22"/>
          <w:szCs w:val="22"/>
        </w:rPr>
        <w:t xml:space="preserve"> </w:t>
      </w:r>
      <w:r w:rsidR="007D161C">
        <w:rPr>
          <w:color w:val="auto"/>
          <w:sz w:val="22"/>
          <w:szCs w:val="22"/>
        </w:rPr>
        <w:t>se aplicará</w:t>
      </w:r>
      <w:r>
        <w:rPr>
          <w:color w:val="auto"/>
          <w:sz w:val="22"/>
          <w:szCs w:val="22"/>
        </w:rPr>
        <w:t xml:space="preserve"> </w:t>
      </w:r>
      <w:r w:rsidR="00714AC8">
        <w:rPr>
          <w:color w:val="auto"/>
          <w:sz w:val="22"/>
          <w:szCs w:val="22"/>
        </w:rPr>
        <w:t xml:space="preserve">UN </w:t>
      </w:r>
      <w:r w:rsidR="00CA19C9">
        <w:rPr>
          <w:color w:val="auto"/>
          <w:sz w:val="22"/>
          <w:szCs w:val="22"/>
        </w:rPr>
        <w:t>Tipo de</w:t>
      </w:r>
      <w:r w:rsidR="007D161C">
        <w:rPr>
          <w:color w:val="auto"/>
          <w:sz w:val="22"/>
          <w:szCs w:val="22"/>
        </w:rPr>
        <w:t xml:space="preserve"> </w:t>
      </w:r>
      <w:r w:rsidR="00CA19C9">
        <w:rPr>
          <w:color w:val="auto"/>
          <w:sz w:val="22"/>
          <w:szCs w:val="22"/>
        </w:rPr>
        <w:t>E</w:t>
      </w:r>
      <w:r w:rsidRPr="002C4A74">
        <w:rPr>
          <w:color w:val="auto"/>
          <w:sz w:val="22"/>
          <w:szCs w:val="22"/>
        </w:rPr>
        <w:t>valuación de Consistencia</w:t>
      </w:r>
      <w:r w:rsidR="007D161C">
        <w:rPr>
          <w:color w:val="auto"/>
          <w:sz w:val="22"/>
          <w:szCs w:val="22"/>
        </w:rPr>
        <w:t xml:space="preserve"> y Resultados.</w:t>
      </w:r>
    </w:p>
    <w:p w:rsidR="00F778DF" w:rsidRDefault="00F778DF" w:rsidP="00F778DF">
      <w:pPr>
        <w:pStyle w:val="Default"/>
      </w:pPr>
    </w:p>
    <w:p w:rsidR="00CA19C9" w:rsidRPr="00CA19C9" w:rsidRDefault="00B05946" w:rsidP="00CA19C9">
      <w:pPr>
        <w:pStyle w:val="Default"/>
        <w:jc w:val="both"/>
        <w:rPr>
          <w:color w:val="auto"/>
          <w:sz w:val="22"/>
          <w:szCs w:val="22"/>
        </w:rPr>
      </w:pPr>
      <w:r w:rsidRPr="00CA19C9">
        <w:rPr>
          <w:color w:val="auto"/>
          <w:sz w:val="22"/>
          <w:szCs w:val="22"/>
        </w:rPr>
        <w:t xml:space="preserve">Las Evaluaciones se llevarán a cabo con base en el modelo de </w:t>
      </w:r>
      <w:proofErr w:type="spellStart"/>
      <w:r w:rsidRPr="00CA19C9">
        <w:rPr>
          <w:color w:val="auto"/>
          <w:sz w:val="22"/>
          <w:szCs w:val="22"/>
        </w:rPr>
        <w:t>TdR</w:t>
      </w:r>
      <w:proofErr w:type="spellEnd"/>
      <w:r w:rsidRPr="00CA19C9">
        <w:rPr>
          <w:color w:val="auto"/>
          <w:sz w:val="22"/>
          <w:szCs w:val="22"/>
        </w:rPr>
        <w:t xml:space="preserve"> que establezcan la SHCP, el CONEVAL y la SFP, para cada tipo de evaluación y en el ámbito de su competencia y coordinación respectiva.  Lo anterior con base al Artículo 79.- tercer párrafo</w:t>
      </w:r>
      <w:r w:rsidR="008A736E">
        <w:rPr>
          <w:color w:val="auto"/>
          <w:sz w:val="22"/>
          <w:szCs w:val="22"/>
        </w:rPr>
        <w:t>.</w:t>
      </w:r>
    </w:p>
    <w:p w:rsidR="00CA19C9" w:rsidRPr="00CA19C9" w:rsidRDefault="00CA19C9" w:rsidP="00CA19C9">
      <w:pPr>
        <w:pStyle w:val="Default"/>
        <w:jc w:val="both"/>
        <w:rPr>
          <w:color w:val="auto"/>
          <w:sz w:val="22"/>
          <w:szCs w:val="22"/>
        </w:rPr>
      </w:pPr>
    </w:p>
    <w:p w:rsidR="00265C84" w:rsidRDefault="00265C84" w:rsidP="006932EC">
      <w:pPr>
        <w:pStyle w:val="Default"/>
        <w:rPr>
          <w:b/>
          <w:bCs/>
        </w:rPr>
      </w:pPr>
    </w:p>
    <w:p w:rsidR="002535A5" w:rsidRDefault="00E11968" w:rsidP="006932EC">
      <w:pPr>
        <w:pStyle w:val="Default"/>
        <w:rPr>
          <w:b/>
          <w:bCs/>
        </w:rPr>
      </w:pPr>
      <w:r>
        <w:rPr>
          <w:b/>
          <w:bCs/>
        </w:rPr>
        <w:t>9</w:t>
      </w:r>
      <w:r w:rsidR="00F778DF" w:rsidRPr="006932EC">
        <w:rPr>
          <w:b/>
          <w:bCs/>
        </w:rPr>
        <w:t>. Seguimiento a los aspectos susceptibles de mejora</w:t>
      </w:r>
      <w:r w:rsidR="002535A5">
        <w:rPr>
          <w:b/>
          <w:bCs/>
        </w:rPr>
        <w:t xml:space="preserve"> (ASM)</w:t>
      </w:r>
    </w:p>
    <w:p w:rsidR="002535A5" w:rsidRDefault="002535A5" w:rsidP="006932EC">
      <w:pPr>
        <w:pStyle w:val="Default"/>
        <w:rPr>
          <w:b/>
          <w:bCs/>
        </w:rPr>
      </w:pPr>
    </w:p>
    <w:p w:rsidR="002535A5" w:rsidRPr="002535A5" w:rsidRDefault="002535A5" w:rsidP="002535A5">
      <w:pPr>
        <w:pStyle w:val="Default"/>
        <w:jc w:val="both"/>
        <w:rPr>
          <w:color w:val="auto"/>
          <w:sz w:val="22"/>
          <w:szCs w:val="22"/>
        </w:rPr>
      </w:pPr>
      <w:r>
        <w:rPr>
          <w:color w:val="auto"/>
          <w:sz w:val="22"/>
          <w:szCs w:val="22"/>
        </w:rPr>
        <w:t>Los ASM s</w:t>
      </w:r>
      <w:r w:rsidRPr="002535A5">
        <w:rPr>
          <w:color w:val="auto"/>
          <w:sz w:val="22"/>
          <w:szCs w:val="22"/>
        </w:rPr>
        <w:t>on los hallazgos, debilidades, oportunidades y amenazas identificadas en la evaluación interna o externa, las cuales pueden ser atendidas para la mejora de los programas con base en las recomendaciones y sugerencias señaladas por el evaluador externo a fin de mejorar los programas presupuestarios.</w:t>
      </w:r>
    </w:p>
    <w:p w:rsidR="002535A5" w:rsidRPr="002535A5" w:rsidRDefault="002535A5" w:rsidP="002535A5">
      <w:pPr>
        <w:autoSpaceDE w:val="0"/>
        <w:autoSpaceDN w:val="0"/>
        <w:adjustRightInd w:val="0"/>
        <w:spacing w:after="0" w:line="241" w:lineRule="atLeast"/>
        <w:jc w:val="both"/>
        <w:rPr>
          <w:rFonts w:ascii="Arial" w:hAnsi="Arial" w:cs="Arial"/>
          <w:color w:val="000000"/>
          <w:sz w:val="20"/>
          <w:szCs w:val="20"/>
          <w:lang w:val="es-MX"/>
        </w:rPr>
      </w:pPr>
    </w:p>
    <w:p w:rsidR="002535A5" w:rsidRPr="002535A5" w:rsidRDefault="00BF6B4C" w:rsidP="002535A5">
      <w:pPr>
        <w:pStyle w:val="Default"/>
        <w:jc w:val="both"/>
        <w:rPr>
          <w:color w:val="auto"/>
          <w:sz w:val="22"/>
          <w:szCs w:val="22"/>
        </w:rPr>
      </w:pPr>
      <w:r>
        <w:rPr>
          <w:color w:val="auto"/>
          <w:sz w:val="22"/>
          <w:szCs w:val="22"/>
        </w:rPr>
        <w:t xml:space="preserve">A partir de este proceso </w:t>
      </w:r>
      <w:r w:rsidR="002535A5" w:rsidRPr="002535A5">
        <w:rPr>
          <w:color w:val="auto"/>
          <w:sz w:val="22"/>
          <w:szCs w:val="22"/>
        </w:rPr>
        <w:t xml:space="preserve">se acordará con la institución o dependencia los compromisos de mejora particulares con los diferentes actores para </w:t>
      </w:r>
      <w:r w:rsidRPr="002535A5">
        <w:rPr>
          <w:color w:val="auto"/>
          <w:sz w:val="22"/>
          <w:szCs w:val="22"/>
        </w:rPr>
        <w:t>perfeccionar</w:t>
      </w:r>
      <w:r w:rsidR="002535A5" w:rsidRPr="002535A5">
        <w:rPr>
          <w:color w:val="auto"/>
          <w:sz w:val="22"/>
          <w:szCs w:val="22"/>
        </w:rPr>
        <w:t xml:space="preserve"> la política pública.</w:t>
      </w:r>
    </w:p>
    <w:p w:rsidR="002535A5" w:rsidRPr="002535A5" w:rsidRDefault="002535A5" w:rsidP="002535A5">
      <w:pPr>
        <w:pStyle w:val="Default"/>
        <w:jc w:val="both"/>
        <w:rPr>
          <w:color w:val="211D1E"/>
          <w:sz w:val="20"/>
          <w:szCs w:val="20"/>
          <w:lang w:val="es-MX"/>
        </w:rPr>
      </w:pPr>
    </w:p>
    <w:p w:rsidR="002535A5" w:rsidRDefault="002535A5" w:rsidP="00BF6B4C">
      <w:pPr>
        <w:pStyle w:val="Default"/>
        <w:jc w:val="both"/>
        <w:rPr>
          <w:color w:val="auto"/>
          <w:sz w:val="22"/>
          <w:szCs w:val="22"/>
        </w:rPr>
      </w:pPr>
      <w:r w:rsidRPr="00BF6B4C">
        <w:rPr>
          <w:color w:val="auto"/>
          <w:sz w:val="22"/>
          <w:szCs w:val="22"/>
        </w:rPr>
        <w:t>Los ASM se clasifica</w:t>
      </w:r>
      <w:r w:rsidR="00BF6B4C">
        <w:rPr>
          <w:color w:val="auto"/>
          <w:sz w:val="22"/>
          <w:szCs w:val="22"/>
        </w:rPr>
        <w:t>rán y atenderán  bajo las siguientes modalidades:</w:t>
      </w:r>
    </w:p>
    <w:p w:rsidR="00BF6B4C" w:rsidRPr="002535A5" w:rsidRDefault="00BF6B4C" w:rsidP="00BF6B4C">
      <w:pPr>
        <w:pStyle w:val="Default"/>
        <w:jc w:val="both"/>
        <w:rPr>
          <w:color w:val="211D1E"/>
          <w:sz w:val="20"/>
          <w:szCs w:val="20"/>
          <w:lang w:val="es-MX"/>
        </w:rPr>
      </w:pPr>
    </w:p>
    <w:p w:rsidR="002535A5" w:rsidRPr="002535A5" w:rsidRDefault="002535A5" w:rsidP="002535A5">
      <w:pPr>
        <w:pStyle w:val="Default"/>
        <w:numPr>
          <w:ilvl w:val="0"/>
          <w:numId w:val="15"/>
        </w:numPr>
        <w:jc w:val="both"/>
        <w:rPr>
          <w:color w:val="auto"/>
          <w:sz w:val="22"/>
          <w:szCs w:val="22"/>
        </w:rPr>
      </w:pPr>
      <w:r w:rsidRPr="002535A5">
        <w:rPr>
          <w:color w:val="auto"/>
          <w:sz w:val="22"/>
          <w:szCs w:val="22"/>
        </w:rPr>
        <w:t>Específicos (atendibles por la unidad responsable de la ejecución del Pp).</w:t>
      </w:r>
    </w:p>
    <w:p w:rsidR="002535A5" w:rsidRPr="002535A5" w:rsidRDefault="002535A5" w:rsidP="002535A5">
      <w:pPr>
        <w:pStyle w:val="Default"/>
        <w:numPr>
          <w:ilvl w:val="0"/>
          <w:numId w:val="15"/>
        </w:numPr>
        <w:jc w:val="both"/>
        <w:rPr>
          <w:color w:val="auto"/>
          <w:sz w:val="22"/>
          <w:szCs w:val="22"/>
        </w:rPr>
      </w:pPr>
      <w:r w:rsidRPr="002535A5">
        <w:rPr>
          <w:color w:val="auto"/>
          <w:sz w:val="22"/>
          <w:szCs w:val="22"/>
        </w:rPr>
        <w:t>Institucionales (atendibles por la dependencia o entidad a la que pertenece la unidad responsable de la • ejecución del Pp).</w:t>
      </w:r>
    </w:p>
    <w:p w:rsidR="002535A5" w:rsidRPr="002535A5" w:rsidRDefault="002535A5" w:rsidP="002535A5">
      <w:pPr>
        <w:pStyle w:val="Default"/>
        <w:numPr>
          <w:ilvl w:val="0"/>
          <w:numId w:val="15"/>
        </w:numPr>
        <w:jc w:val="both"/>
        <w:rPr>
          <w:color w:val="auto"/>
          <w:sz w:val="22"/>
          <w:szCs w:val="22"/>
        </w:rPr>
      </w:pPr>
      <w:r w:rsidRPr="002535A5">
        <w:rPr>
          <w:color w:val="auto"/>
          <w:sz w:val="22"/>
          <w:szCs w:val="22"/>
        </w:rPr>
        <w:t>Interinstitucionales (atendibles por diversas dependencias y entidades que de alguna manera influyen en la • ejecución del Pp).</w:t>
      </w:r>
    </w:p>
    <w:p w:rsidR="002535A5" w:rsidRPr="002535A5" w:rsidRDefault="002535A5" w:rsidP="002535A5">
      <w:pPr>
        <w:pStyle w:val="Default"/>
        <w:numPr>
          <w:ilvl w:val="0"/>
          <w:numId w:val="15"/>
        </w:numPr>
        <w:jc w:val="both"/>
        <w:rPr>
          <w:color w:val="auto"/>
          <w:sz w:val="22"/>
          <w:szCs w:val="22"/>
        </w:rPr>
      </w:pPr>
      <w:r w:rsidRPr="002535A5">
        <w:rPr>
          <w:color w:val="auto"/>
          <w:sz w:val="22"/>
          <w:szCs w:val="22"/>
        </w:rPr>
        <w:t>Intergubernamentales (atendibles por más de un orden de gobierno).</w:t>
      </w:r>
    </w:p>
    <w:p w:rsidR="00852F42" w:rsidRDefault="00852F42" w:rsidP="00F778DF">
      <w:pPr>
        <w:pStyle w:val="Default"/>
        <w:rPr>
          <w:sz w:val="23"/>
          <w:szCs w:val="23"/>
        </w:rPr>
      </w:pPr>
    </w:p>
    <w:p w:rsidR="007D161C" w:rsidRPr="00852F42" w:rsidRDefault="002535A5" w:rsidP="007D161C">
      <w:pPr>
        <w:pStyle w:val="Default"/>
        <w:jc w:val="both"/>
        <w:rPr>
          <w:color w:val="auto"/>
          <w:sz w:val="22"/>
          <w:szCs w:val="22"/>
        </w:rPr>
      </w:pPr>
      <w:r>
        <w:rPr>
          <w:color w:val="auto"/>
          <w:sz w:val="22"/>
          <w:szCs w:val="22"/>
        </w:rPr>
        <w:t>Con base a lo anterior, l</w:t>
      </w:r>
      <w:r w:rsidR="007D161C">
        <w:rPr>
          <w:color w:val="auto"/>
          <w:sz w:val="22"/>
          <w:szCs w:val="22"/>
        </w:rPr>
        <w:t>as dependencias y entidades deberán elaborar un documento de trabajo para dar seguimiento a los principales resultados de l</w:t>
      </w:r>
      <w:r w:rsidR="00BF6B4C">
        <w:rPr>
          <w:color w:val="auto"/>
          <w:sz w:val="22"/>
          <w:szCs w:val="22"/>
        </w:rPr>
        <w:t xml:space="preserve">as evaluaciones con que cuenten, </w:t>
      </w:r>
      <w:r w:rsidR="007D161C">
        <w:rPr>
          <w:color w:val="auto"/>
          <w:sz w:val="22"/>
          <w:szCs w:val="22"/>
        </w:rPr>
        <w:t>integra</w:t>
      </w:r>
      <w:r w:rsidR="00BF6B4C">
        <w:rPr>
          <w:color w:val="auto"/>
          <w:sz w:val="22"/>
          <w:szCs w:val="22"/>
        </w:rPr>
        <w:t>ndo</w:t>
      </w:r>
      <w:r w:rsidR="007D161C">
        <w:rPr>
          <w:color w:val="auto"/>
          <w:sz w:val="22"/>
          <w:szCs w:val="22"/>
        </w:rPr>
        <w:t xml:space="preserve"> los aspectos que sean susceptibles de mejora de las políticas y de los programas correspondientes.</w:t>
      </w:r>
    </w:p>
    <w:p w:rsidR="007D161C" w:rsidRDefault="007D161C" w:rsidP="00F778DF">
      <w:pPr>
        <w:pStyle w:val="Default"/>
        <w:rPr>
          <w:sz w:val="23"/>
          <w:szCs w:val="23"/>
        </w:rPr>
      </w:pPr>
    </w:p>
    <w:p w:rsidR="00F778DF" w:rsidRPr="00852F42" w:rsidRDefault="00F778DF" w:rsidP="00852F42">
      <w:pPr>
        <w:pStyle w:val="Default"/>
        <w:jc w:val="both"/>
        <w:rPr>
          <w:color w:val="auto"/>
          <w:sz w:val="22"/>
          <w:szCs w:val="22"/>
        </w:rPr>
      </w:pPr>
      <w:r w:rsidRPr="00852F42">
        <w:rPr>
          <w:color w:val="auto"/>
          <w:sz w:val="22"/>
          <w:szCs w:val="22"/>
        </w:rPr>
        <w:t>Las dependencias y entidades que realizaron evaluaciones en el ejercicio fiscal 201</w:t>
      </w:r>
      <w:r w:rsidR="00A86A55">
        <w:rPr>
          <w:color w:val="auto"/>
          <w:sz w:val="22"/>
          <w:szCs w:val="22"/>
        </w:rPr>
        <w:t>3</w:t>
      </w:r>
      <w:r w:rsidRPr="00852F42">
        <w:rPr>
          <w:color w:val="auto"/>
          <w:sz w:val="22"/>
          <w:szCs w:val="22"/>
        </w:rPr>
        <w:t xml:space="preserve"> a los programas a su cargo, deberán de dar seguimiento hasta su conclusión a los aspectos susceptibles de mejora derivados del trabajo para su implementación, seguimiento y rendición de cuentas. </w:t>
      </w:r>
    </w:p>
    <w:p w:rsidR="00F778DF" w:rsidRDefault="00F778DF" w:rsidP="00F778DF">
      <w:pPr>
        <w:pStyle w:val="Default"/>
        <w:rPr>
          <w:color w:val="auto"/>
        </w:rPr>
      </w:pPr>
    </w:p>
    <w:p w:rsidR="00F778DF" w:rsidRDefault="00F778DF" w:rsidP="00A86A55">
      <w:pPr>
        <w:pStyle w:val="Default"/>
        <w:jc w:val="both"/>
        <w:rPr>
          <w:color w:val="auto"/>
          <w:sz w:val="22"/>
          <w:szCs w:val="22"/>
        </w:rPr>
      </w:pPr>
      <w:r>
        <w:rPr>
          <w:color w:val="auto"/>
          <w:sz w:val="22"/>
          <w:szCs w:val="22"/>
        </w:rPr>
        <w:t>La información que se haya obtenido del seguimiento a los compromisos de mejora y de las evaluaciones, correspondientes al ejercicio fiscal 201</w:t>
      </w:r>
      <w:r w:rsidR="00A86A55">
        <w:rPr>
          <w:color w:val="auto"/>
          <w:sz w:val="22"/>
          <w:szCs w:val="22"/>
        </w:rPr>
        <w:t>3</w:t>
      </w:r>
      <w:r>
        <w:rPr>
          <w:color w:val="auto"/>
          <w:sz w:val="22"/>
          <w:szCs w:val="22"/>
        </w:rPr>
        <w:t>, deberá ser considerada por las dependencias y entidades como parte de un proceso gradual y progresivo durante 201</w:t>
      </w:r>
      <w:r w:rsidR="00A86A55">
        <w:rPr>
          <w:color w:val="auto"/>
          <w:sz w:val="22"/>
          <w:szCs w:val="22"/>
        </w:rPr>
        <w:t>4</w:t>
      </w:r>
      <w:r>
        <w:rPr>
          <w:color w:val="auto"/>
          <w:sz w:val="22"/>
          <w:szCs w:val="22"/>
        </w:rPr>
        <w:t xml:space="preserve"> y para los procesos presupuestales subsecuentes. </w:t>
      </w:r>
    </w:p>
    <w:p w:rsidR="00A86A55" w:rsidRDefault="00A86A55" w:rsidP="00A86A55">
      <w:pPr>
        <w:pStyle w:val="Default"/>
        <w:jc w:val="both"/>
        <w:rPr>
          <w:color w:val="auto"/>
          <w:sz w:val="22"/>
          <w:szCs w:val="22"/>
        </w:rPr>
      </w:pPr>
    </w:p>
    <w:p w:rsidR="00F778DF" w:rsidRDefault="00F778DF" w:rsidP="00A86A55">
      <w:pPr>
        <w:pStyle w:val="Default"/>
        <w:jc w:val="both"/>
        <w:rPr>
          <w:color w:val="auto"/>
          <w:sz w:val="22"/>
          <w:szCs w:val="22"/>
        </w:rPr>
      </w:pPr>
      <w:r>
        <w:rPr>
          <w:color w:val="auto"/>
          <w:sz w:val="22"/>
          <w:szCs w:val="22"/>
        </w:rPr>
        <w:t>Las Evaluaciones en curso establecidas en PAE anteriores, deberán continuar hasta su conclusión y dar cumplimiento a las disposiciones aplicables en la materia.</w:t>
      </w:r>
    </w:p>
    <w:p w:rsidR="00D86AB0" w:rsidRDefault="00D86AB0" w:rsidP="00A86A55">
      <w:pPr>
        <w:pStyle w:val="Default"/>
        <w:jc w:val="both"/>
        <w:rPr>
          <w:color w:val="auto"/>
          <w:sz w:val="22"/>
          <w:szCs w:val="22"/>
        </w:rPr>
      </w:pPr>
    </w:p>
    <w:p w:rsidR="00D86AB0" w:rsidRDefault="00D86AB0" w:rsidP="00D86AB0">
      <w:pPr>
        <w:pStyle w:val="Default"/>
        <w:rPr>
          <w:sz w:val="22"/>
          <w:szCs w:val="22"/>
        </w:rPr>
      </w:pPr>
    </w:p>
    <w:p w:rsidR="00D86AB0" w:rsidRPr="006932EC" w:rsidRDefault="00E11968" w:rsidP="00D86AB0">
      <w:pPr>
        <w:pStyle w:val="Default"/>
        <w:rPr>
          <w:b/>
          <w:bCs/>
        </w:rPr>
      </w:pPr>
      <w:r>
        <w:rPr>
          <w:b/>
          <w:bCs/>
        </w:rPr>
        <w:t>10</w:t>
      </w:r>
      <w:r w:rsidR="00D86AB0" w:rsidRPr="006932EC">
        <w:rPr>
          <w:b/>
          <w:bCs/>
        </w:rPr>
        <w:t>. Difusión</w:t>
      </w:r>
      <w:r w:rsidR="00D86AB0">
        <w:rPr>
          <w:b/>
          <w:bCs/>
        </w:rPr>
        <w:t>,</w:t>
      </w:r>
      <w:r w:rsidR="00D86AB0" w:rsidRPr="006932EC">
        <w:rPr>
          <w:b/>
          <w:bCs/>
        </w:rPr>
        <w:t xml:space="preserve"> Transparencia</w:t>
      </w:r>
      <w:r w:rsidR="00D86AB0">
        <w:rPr>
          <w:b/>
          <w:bCs/>
        </w:rPr>
        <w:t xml:space="preserve"> y</w:t>
      </w:r>
      <w:r w:rsidR="00D86AB0" w:rsidRPr="006932EC">
        <w:rPr>
          <w:b/>
          <w:bCs/>
        </w:rPr>
        <w:t xml:space="preserve"> Rendición de Cuentas </w:t>
      </w:r>
    </w:p>
    <w:p w:rsidR="00D86AB0" w:rsidRPr="006932EC" w:rsidRDefault="00D86AB0" w:rsidP="00D86AB0">
      <w:pPr>
        <w:pStyle w:val="Default"/>
        <w:rPr>
          <w:b/>
          <w:bCs/>
        </w:rPr>
      </w:pPr>
    </w:p>
    <w:p w:rsidR="00D86AB0" w:rsidRDefault="00D86AB0" w:rsidP="00D86AB0">
      <w:pPr>
        <w:pStyle w:val="Default"/>
        <w:jc w:val="both"/>
        <w:rPr>
          <w:sz w:val="22"/>
          <w:szCs w:val="22"/>
        </w:rPr>
      </w:pPr>
      <w:r>
        <w:rPr>
          <w:sz w:val="22"/>
          <w:szCs w:val="22"/>
        </w:rPr>
        <w:t xml:space="preserve">Las dependencias y entidades deberán difundir y dar transparencia a los informes de las evaluaciones de conformidad con la UCE; se integrará la información relativa al avance de cumplimiento de metas, a los resultados de las evaluaciones y al seguimiento a los compromisos de mejora. Asimismo, publicará dicha información en su página de Internet y la integrará a los informes correspondientes en términos de las disposiciones aplicables. </w:t>
      </w:r>
    </w:p>
    <w:p w:rsidR="00D86AB0" w:rsidRDefault="00D86AB0" w:rsidP="00D86AB0">
      <w:pPr>
        <w:pStyle w:val="Default"/>
        <w:jc w:val="both"/>
        <w:rPr>
          <w:sz w:val="22"/>
          <w:szCs w:val="22"/>
        </w:rPr>
      </w:pPr>
    </w:p>
    <w:p w:rsidR="00D86AB0" w:rsidRDefault="00D86AB0" w:rsidP="00D86AB0">
      <w:pPr>
        <w:pStyle w:val="Default"/>
        <w:jc w:val="both"/>
        <w:rPr>
          <w:sz w:val="22"/>
          <w:szCs w:val="22"/>
        </w:rPr>
      </w:pPr>
      <w:r>
        <w:rPr>
          <w:sz w:val="22"/>
          <w:szCs w:val="22"/>
        </w:rPr>
        <w:t xml:space="preserve">Los informes finales difundidos a través de las páginas de Internet de las dependencias y entidades, deberán atender y contar con información establecida en las “GOI 2014” en su apartado IV. Evaluación; y para el caso de Pp financiados con recursos federales, se apegarán al artículo 110, fracción II, de la LFPRH, así como a los numerales Vigésimo Sexto, Vigésimo Séptimo y Vigésimo Octavo de los “Lineamientos Federales”. </w:t>
      </w:r>
    </w:p>
    <w:p w:rsidR="00D86AB0" w:rsidRDefault="00D86AB0" w:rsidP="00D86AB0">
      <w:pPr>
        <w:pStyle w:val="Default"/>
        <w:jc w:val="both"/>
        <w:rPr>
          <w:sz w:val="22"/>
          <w:szCs w:val="22"/>
        </w:rPr>
      </w:pPr>
    </w:p>
    <w:p w:rsidR="00D86AB0" w:rsidRDefault="00D86AB0" w:rsidP="00D86AB0">
      <w:pPr>
        <w:pStyle w:val="Default"/>
        <w:jc w:val="both"/>
        <w:rPr>
          <w:sz w:val="22"/>
          <w:szCs w:val="22"/>
        </w:rPr>
      </w:pPr>
      <w:r>
        <w:rPr>
          <w:sz w:val="22"/>
          <w:szCs w:val="22"/>
        </w:rPr>
        <w:t xml:space="preserve">La SPPP y SCG-UCE podrán publicar en sus portales de Internet en los casos de inobservancia y/o desfase de las evaluaciones programadas, los documentos y diagnósticos necesarios para dar cumplimiento al Programa Anual de Evaluación vigente y anteriores. </w:t>
      </w:r>
    </w:p>
    <w:p w:rsidR="00D86AB0" w:rsidRDefault="00D86AB0" w:rsidP="00D86AB0">
      <w:pPr>
        <w:pStyle w:val="Default"/>
        <w:jc w:val="both"/>
        <w:rPr>
          <w:rFonts w:ascii="Times New Roman" w:hAnsi="Times New Roman" w:cs="Times New Roman"/>
          <w:sz w:val="23"/>
          <w:szCs w:val="23"/>
        </w:rPr>
      </w:pPr>
    </w:p>
    <w:p w:rsidR="00D86AB0" w:rsidRPr="00AE5B71" w:rsidRDefault="00D86AB0" w:rsidP="00D86AB0">
      <w:pPr>
        <w:pStyle w:val="Default"/>
        <w:jc w:val="both"/>
        <w:rPr>
          <w:color w:val="auto"/>
          <w:sz w:val="22"/>
          <w:szCs w:val="22"/>
        </w:rPr>
      </w:pPr>
      <w:r>
        <w:rPr>
          <w:color w:val="auto"/>
          <w:sz w:val="22"/>
          <w:szCs w:val="22"/>
        </w:rPr>
        <w:t xml:space="preserve">Las dependencias y entidades deberán publicar en sus portales de Internet, para dar transparencia, todas las evaluaciones, estudios y encuestas, que con cargo a recursos fiscales se hayan realizado, aun cuando no sean parte del PAE 2014. Se deberá difundir, el método de evaluación con una justificación de los resultados obtenidos y el monto de los recursos públicos asignados para su cumplimiento. </w:t>
      </w:r>
    </w:p>
    <w:p w:rsidR="00D86AB0" w:rsidRDefault="00D86AB0" w:rsidP="00D86AB0">
      <w:pPr>
        <w:pStyle w:val="Default"/>
        <w:jc w:val="both"/>
        <w:rPr>
          <w:color w:val="auto"/>
          <w:sz w:val="22"/>
          <w:szCs w:val="22"/>
        </w:rPr>
      </w:pPr>
    </w:p>
    <w:p w:rsidR="00D86AB0" w:rsidRDefault="00D86AB0" w:rsidP="00D86AB0">
      <w:pPr>
        <w:pStyle w:val="Default"/>
        <w:jc w:val="both"/>
        <w:rPr>
          <w:color w:val="auto"/>
          <w:sz w:val="22"/>
          <w:szCs w:val="22"/>
        </w:rPr>
      </w:pPr>
      <w:r>
        <w:rPr>
          <w:color w:val="auto"/>
          <w:sz w:val="22"/>
          <w:szCs w:val="22"/>
        </w:rPr>
        <w:t xml:space="preserve">Cuando la información se difunda en Internet los sujetos obligados deberán promover el acceso a la información con buscadores temáticos y disponer de un respaldo con todos los registros electrónicos para cualquier persona que los solicite. Esta entrega deberá ser expedita y procurará la creación de bases de datos explotables para la generación de conocimiento por parte de la sociedad. </w:t>
      </w:r>
    </w:p>
    <w:p w:rsidR="00D86AB0" w:rsidRDefault="00D86AB0" w:rsidP="00D86AB0">
      <w:pPr>
        <w:pStyle w:val="Default"/>
        <w:jc w:val="both"/>
        <w:rPr>
          <w:color w:val="auto"/>
          <w:sz w:val="22"/>
          <w:szCs w:val="22"/>
        </w:rPr>
      </w:pPr>
    </w:p>
    <w:p w:rsidR="00D86AB0" w:rsidRDefault="00D86AB0" w:rsidP="00A86A55">
      <w:pPr>
        <w:pStyle w:val="Default"/>
        <w:jc w:val="both"/>
        <w:rPr>
          <w:color w:val="auto"/>
          <w:sz w:val="22"/>
          <w:szCs w:val="22"/>
        </w:rPr>
      </w:pPr>
    </w:p>
    <w:p w:rsidR="00E11968" w:rsidRPr="006932EC" w:rsidRDefault="00E11968" w:rsidP="00E11968">
      <w:pPr>
        <w:pStyle w:val="Default"/>
        <w:rPr>
          <w:b/>
          <w:bCs/>
        </w:rPr>
      </w:pPr>
      <w:r>
        <w:rPr>
          <w:b/>
          <w:bCs/>
        </w:rPr>
        <w:t>11</w:t>
      </w:r>
      <w:r w:rsidRPr="006932EC">
        <w:rPr>
          <w:b/>
          <w:bCs/>
        </w:rPr>
        <w:t xml:space="preserve">. Costo de las Evaluaciones </w:t>
      </w:r>
    </w:p>
    <w:p w:rsidR="00E11968" w:rsidRDefault="00E11968" w:rsidP="00E11968">
      <w:pPr>
        <w:pStyle w:val="Default"/>
        <w:rPr>
          <w:sz w:val="23"/>
          <w:szCs w:val="23"/>
        </w:rPr>
      </w:pPr>
    </w:p>
    <w:p w:rsidR="00E11968" w:rsidRDefault="00E11968" w:rsidP="00E11968">
      <w:pPr>
        <w:pStyle w:val="Default"/>
        <w:jc w:val="both"/>
        <w:rPr>
          <w:sz w:val="22"/>
          <w:szCs w:val="22"/>
        </w:rPr>
      </w:pPr>
      <w:r>
        <w:rPr>
          <w:sz w:val="22"/>
          <w:szCs w:val="22"/>
        </w:rPr>
        <w:t xml:space="preserve">El costo de las evaluaciones de los programas operados o coordinados por las dependencias y entidades será con cargo a su presupuesto y conforme al mecanismo de pago que se determine. </w:t>
      </w:r>
    </w:p>
    <w:p w:rsidR="00E11968" w:rsidRDefault="00E11968" w:rsidP="00E11968">
      <w:pPr>
        <w:pStyle w:val="Default"/>
        <w:jc w:val="both"/>
        <w:rPr>
          <w:sz w:val="22"/>
          <w:szCs w:val="22"/>
        </w:rPr>
      </w:pPr>
    </w:p>
    <w:p w:rsidR="00E11968" w:rsidRDefault="00E11968" w:rsidP="00E11968">
      <w:pPr>
        <w:pStyle w:val="Default"/>
        <w:jc w:val="both"/>
        <w:rPr>
          <w:sz w:val="22"/>
          <w:szCs w:val="22"/>
        </w:rPr>
      </w:pPr>
      <w:r>
        <w:rPr>
          <w:sz w:val="22"/>
          <w:szCs w:val="22"/>
        </w:rPr>
        <w:t xml:space="preserve">El total de las erogaciones que se lleven a cabo para realizar las diferentes etapas de las evaluaciones se deberá registrar de manera específica para su plena transparencia y rendición de cuentas. </w:t>
      </w:r>
    </w:p>
    <w:p w:rsidR="00E11968" w:rsidRDefault="00E11968" w:rsidP="00E11968">
      <w:pPr>
        <w:pStyle w:val="Default"/>
        <w:jc w:val="both"/>
        <w:rPr>
          <w:sz w:val="22"/>
          <w:szCs w:val="22"/>
        </w:rPr>
      </w:pPr>
    </w:p>
    <w:p w:rsidR="00E11968" w:rsidRDefault="00E11968" w:rsidP="00E11968">
      <w:pPr>
        <w:pStyle w:val="Default"/>
        <w:jc w:val="both"/>
        <w:rPr>
          <w:sz w:val="22"/>
          <w:szCs w:val="22"/>
        </w:rPr>
      </w:pPr>
      <w:r>
        <w:rPr>
          <w:sz w:val="22"/>
          <w:szCs w:val="22"/>
        </w:rPr>
        <w:t xml:space="preserve">La realización de las evaluaciones incluidas en el PAE 2014 estará sujetas a la disponibilidad presupuestaria de la dependencia o entidad encargada de su realización y a la vigencia de los programas correspondientes. </w:t>
      </w:r>
    </w:p>
    <w:p w:rsidR="00E11968" w:rsidRDefault="00E11968" w:rsidP="00E11968">
      <w:pPr>
        <w:pStyle w:val="Default"/>
        <w:rPr>
          <w:sz w:val="22"/>
          <w:szCs w:val="22"/>
        </w:rPr>
      </w:pPr>
    </w:p>
    <w:p w:rsidR="00E11968" w:rsidRDefault="00E11968" w:rsidP="00A86A55">
      <w:pPr>
        <w:pStyle w:val="Default"/>
        <w:jc w:val="both"/>
        <w:rPr>
          <w:color w:val="auto"/>
          <w:sz w:val="22"/>
          <w:szCs w:val="22"/>
        </w:rPr>
      </w:pPr>
    </w:p>
    <w:p w:rsidR="003B61A5" w:rsidRDefault="003B61A5" w:rsidP="00A86A55">
      <w:pPr>
        <w:pStyle w:val="Default"/>
        <w:jc w:val="both"/>
        <w:rPr>
          <w:color w:val="auto"/>
          <w:sz w:val="22"/>
          <w:szCs w:val="22"/>
        </w:rPr>
      </w:pPr>
    </w:p>
    <w:p w:rsidR="003B61A5" w:rsidRDefault="003B61A5" w:rsidP="00A86A55">
      <w:pPr>
        <w:pStyle w:val="Default"/>
        <w:jc w:val="both"/>
        <w:rPr>
          <w:color w:val="auto"/>
          <w:sz w:val="22"/>
          <w:szCs w:val="22"/>
        </w:rPr>
      </w:pPr>
    </w:p>
    <w:p w:rsidR="003B61A5" w:rsidRDefault="003B61A5" w:rsidP="00A86A55">
      <w:pPr>
        <w:pStyle w:val="Default"/>
        <w:jc w:val="both"/>
        <w:rPr>
          <w:color w:val="auto"/>
          <w:sz w:val="22"/>
          <w:szCs w:val="22"/>
        </w:rPr>
      </w:pPr>
    </w:p>
    <w:p w:rsidR="003B61A5" w:rsidRDefault="003B61A5" w:rsidP="00A86A55">
      <w:pPr>
        <w:pStyle w:val="Default"/>
        <w:jc w:val="both"/>
        <w:rPr>
          <w:color w:val="auto"/>
          <w:sz w:val="22"/>
          <w:szCs w:val="22"/>
        </w:rPr>
      </w:pPr>
    </w:p>
    <w:p w:rsidR="003B61A5" w:rsidRDefault="003B61A5" w:rsidP="00A86A55">
      <w:pPr>
        <w:pStyle w:val="Default"/>
        <w:jc w:val="both"/>
        <w:rPr>
          <w:color w:val="auto"/>
          <w:sz w:val="22"/>
          <w:szCs w:val="22"/>
        </w:rPr>
        <w:sectPr w:rsidR="003B61A5">
          <w:headerReference w:type="default" r:id="rId17"/>
          <w:footerReference w:type="default" r:id="rId18"/>
          <w:pgSz w:w="11906" w:h="16838"/>
          <w:pgMar w:top="1417" w:right="1701" w:bottom="1417" w:left="1701" w:header="708" w:footer="708" w:gutter="0"/>
          <w:cols w:space="708"/>
          <w:docGrid w:linePitch="360"/>
        </w:sectPr>
      </w:pPr>
    </w:p>
    <w:p w:rsidR="00214F62" w:rsidRPr="002D62D8" w:rsidRDefault="002D62D8" w:rsidP="00265C84">
      <w:pPr>
        <w:autoSpaceDE w:val="0"/>
        <w:autoSpaceDN w:val="0"/>
        <w:adjustRightInd w:val="0"/>
        <w:spacing w:after="0" w:line="241" w:lineRule="atLeast"/>
        <w:jc w:val="center"/>
        <w:rPr>
          <w:rFonts w:ascii="Arial" w:hAnsi="Arial" w:cs="Arial"/>
          <w:b/>
          <w:bCs/>
          <w:color w:val="000000"/>
          <w:szCs w:val="20"/>
          <w:lang w:val="es-MX"/>
        </w:rPr>
      </w:pPr>
      <w:r>
        <w:rPr>
          <w:rFonts w:ascii="Arial" w:hAnsi="Arial" w:cs="Arial"/>
          <w:b/>
          <w:bCs/>
          <w:color w:val="000000"/>
          <w:sz w:val="24"/>
          <w:szCs w:val="20"/>
          <w:lang w:val="es-MX"/>
        </w:rPr>
        <w:lastRenderedPageBreak/>
        <w:t>12</w:t>
      </w:r>
      <w:r w:rsidRPr="002D62D8">
        <w:rPr>
          <w:rFonts w:ascii="Arial" w:hAnsi="Arial" w:cs="Arial"/>
          <w:b/>
          <w:bCs/>
          <w:color w:val="000000"/>
          <w:sz w:val="24"/>
          <w:szCs w:val="20"/>
          <w:lang w:val="es-MX"/>
        </w:rPr>
        <w:t xml:space="preserve">. </w:t>
      </w:r>
      <w:r w:rsidR="00265C84" w:rsidRPr="002D62D8">
        <w:rPr>
          <w:rFonts w:ascii="Arial" w:hAnsi="Arial" w:cs="Arial"/>
          <w:b/>
          <w:bCs/>
          <w:color w:val="000000"/>
          <w:sz w:val="24"/>
          <w:szCs w:val="20"/>
          <w:lang w:val="es-MX"/>
        </w:rPr>
        <w:t>Cronogra</w:t>
      </w:r>
      <w:r w:rsidR="00214F62" w:rsidRPr="002D62D8">
        <w:rPr>
          <w:rFonts w:ascii="Arial" w:hAnsi="Arial" w:cs="Arial"/>
          <w:b/>
          <w:bCs/>
          <w:color w:val="000000"/>
          <w:sz w:val="24"/>
          <w:szCs w:val="20"/>
          <w:lang w:val="es-MX"/>
        </w:rPr>
        <w:t>ma de Ejecución de Evaluaciones</w:t>
      </w:r>
    </w:p>
    <w:p w:rsidR="00214F62" w:rsidRDefault="00265C84" w:rsidP="00265C84">
      <w:pPr>
        <w:autoSpaceDE w:val="0"/>
        <w:autoSpaceDN w:val="0"/>
        <w:adjustRightInd w:val="0"/>
        <w:spacing w:after="0" w:line="241" w:lineRule="atLeast"/>
        <w:jc w:val="center"/>
        <w:rPr>
          <w:rFonts w:ascii="Arial" w:hAnsi="Arial" w:cs="Arial"/>
          <w:b/>
          <w:bCs/>
          <w:color w:val="000000"/>
          <w:sz w:val="20"/>
          <w:szCs w:val="20"/>
          <w:lang w:val="es-MX"/>
        </w:rPr>
      </w:pPr>
      <w:r w:rsidRPr="00BF6B4C">
        <w:rPr>
          <w:rFonts w:ascii="Arial" w:hAnsi="Arial" w:cs="Arial"/>
          <w:b/>
          <w:bCs/>
          <w:color w:val="000000"/>
          <w:sz w:val="20"/>
          <w:szCs w:val="20"/>
          <w:lang w:val="es-MX"/>
        </w:rPr>
        <w:t xml:space="preserve">Fondos Federales del Ramo 33 </w:t>
      </w:r>
    </w:p>
    <w:p w:rsidR="00265C84" w:rsidRPr="00BF6B4C" w:rsidRDefault="00265C84" w:rsidP="00265C84">
      <w:pPr>
        <w:autoSpaceDE w:val="0"/>
        <w:autoSpaceDN w:val="0"/>
        <w:adjustRightInd w:val="0"/>
        <w:spacing w:after="0" w:line="241" w:lineRule="atLeast"/>
        <w:jc w:val="center"/>
        <w:rPr>
          <w:rFonts w:ascii="Arial" w:hAnsi="Arial" w:cs="Arial"/>
          <w:color w:val="000000"/>
          <w:sz w:val="20"/>
          <w:szCs w:val="20"/>
          <w:lang w:val="es-MX"/>
        </w:rPr>
      </w:pPr>
      <w:r w:rsidRPr="00BF6B4C">
        <w:rPr>
          <w:rFonts w:ascii="Arial" w:hAnsi="Arial" w:cs="Arial"/>
          <w:b/>
          <w:bCs/>
          <w:color w:val="000000"/>
          <w:sz w:val="20"/>
          <w:szCs w:val="20"/>
          <w:lang w:val="es-MX"/>
        </w:rPr>
        <w:t>Ejercicio Fiscal 201</w:t>
      </w:r>
      <w:r>
        <w:rPr>
          <w:rFonts w:ascii="Arial" w:hAnsi="Arial" w:cs="Arial"/>
          <w:b/>
          <w:bCs/>
          <w:color w:val="000000"/>
          <w:sz w:val="20"/>
          <w:szCs w:val="20"/>
          <w:lang w:val="es-MX"/>
        </w:rPr>
        <w:t>3</w:t>
      </w:r>
    </w:p>
    <w:tbl>
      <w:tblPr>
        <w:tblW w:w="12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1985"/>
        <w:gridCol w:w="2126"/>
        <w:gridCol w:w="1701"/>
        <w:gridCol w:w="2126"/>
        <w:gridCol w:w="2287"/>
      </w:tblGrid>
      <w:tr w:rsidR="00214F62" w:rsidRPr="00BF6B4C" w:rsidTr="00214F62">
        <w:trPr>
          <w:trHeight w:val="201"/>
          <w:jc w:val="center"/>
        </w:trPr>
        <w:tc>
          <w:tcPr>
            <w:tcW w:w="2178" w:type="dxa"/>
            <w:vMerge w:val="restart"/>
          </w:tcPr>
          <w:p w:rsidR="00214F62" w:rsidRPr="00BF6B4C" w:rsidRDefault="00214F62" w:rsidP="00214F62">
            <w:pPr>
              <w:autoSpaceDE w:val="0"/>
              <w:autoSpaceDN w:val="0"/>
              <w:adjustRightInd w:val="0"/>
              <w:spacing w:after="0" w:line="241" w:lineRule="atLeast"/>
              <w:jc w:val="center"/>
              <w:rPr>
                <w:rFonts w:ascii="Arial" w:hAnsi="Arial" w:cs="Arial"/>
                <w:color w:val="000000"/>
                <w:sz w:val="20"/>
                <w:szCs w:val="20"/>
                <w:lang w:val="es-MX"/>
              </w:rPr>
            </w:pPr>
            <w:r w:rsidRPr="00BF6B4C">
              <w:rPr>
                <w:rFonts w:ascii="Arial" w:hAnsi="Arial" w:cs="Arial"/>
                <w:b/>
                <w:bCs/>
                <w:color w:val="000000"/>
                <w:sz w:val="20"/>
                <w:szCs w:val="20"/>
                <w:lang w:val="es-MX"/>
              </w:rPr>
              <w:t>Total</w:t>
            </w:r>
            <w:r>
              <w:rPr>
                <w:rFonts w:ascii="Arial" w:hAnsi="Arial" w:cs="Arial"/>
                <w:b/>
                <w:bCs/>
                <w:color w:val="000000"/>
                <w:sz w:val="20"/>
                <w:szCs w:val="20"/>
                <w:lang w:val="es-MX"/>
              </w:rPr>
              <w:t xml:space="preserve"> de evaluaciones</w:t>
            </w:r>
          </w:p>
        </w:tc>
        <w:tc>
          <w:tcPr>
            <w:tcW w:w="1985" w:type="dxa"/>
            <w:vMerge w:val="restart"/>
          </w:tcPr>
          <w:p w:rsidR="00214F62" w:rsidRPr="00BF6B4C" w:rsidRDefault="00214F62" w:rsidP="00214F62">
            <w:pPr>
              <w:autoSpaceDE w:val="0"/>
              <w:autoSpaceDN w:val="0"/>
              <w:adjustRightInd w:val="0"/>
              <w:spacing w:after="0" w:line="241" w:lineRule="atLeast"/>
              <w:jc w:val="center"/>
              <w:rPr>
                <w:rFonts w:ascii="Arial" w:hAnsi="Arial" w:cs="Arial"/>
                <w:color w:val="000000"/>
                <w:sz w:val="20"/>
                <w:szCs w:val="20"/>
                <w:lang w:val="es-MX"/>
              </w:rPr>
            </w:pPr>
            <w:r w:rsidRPr="00BF6B4C">
              <w:rPr>
                <w:rFonts w:ascii="Arial" w:hAnsi="Arial" w:cs="Arial"/>
                <w:b/>
                <w:bCs/>
                <w:color w:val="000000"/>
                <w:sz w:val="20"/>
                <w:szCs w:val="20"/>
                <w:lang w:val="es-MX"/>
              </w:rPr>
              <w:t>Tipo de Evaluación</w:t>
            </w:r>
          </w:p>
        </w:tc>
        <w:tc>
          <w:tcPr>
            <w:tcW w:w="2126" w:type="dxa"/>
            <w:vMerge w:val="restart"/>
          </w:tcPr>
          <w:p w:rsidR="00214F62" w:rsidRDefault="00214F62" w:rsidP="00214F62">
            <w:pPr>
              <w:autoSpaceDE w:val="0"/>
              <w:autoSpaceDN w:val="0"/>
              <w:adjustRightInd w:val="0"/>
              <w:spacing w:after="0" w:line="241" w:lineRule="atLeast"/>
              <w:jc w:val="center"/>
              <w:rPr>
                <w:rFonts w:ascii="Arial" w:hAnsi="Arial" w:cs="Arial"/>
                <w:b/>
                <w:bCs/>
                <w:color w:val="000000"/>
                <w:sz w:val="20"/>
                <w:szCs w:val="20"/>
                <w:lang w:val="es-MX"/>
              </w:rPr>
            </w:pPr>
            <w:r w:rsidRPr="00BF6B4C">
              <w:rPr>
                <w:rFonts w:ascii="Arial" w:hAnsi="Arial" w:cs="Arial"/>
                <w:b/>
                <w:bCs/>
                <w:color w:val="000000"/>
                <w:sz w:val="20"/>
                <w:szCs w:val="20"/>
                <w:lang w:val="es-MX"/>
              </w:rPr>
              <w:t>Fondos</w:t>
            </w:r>
          </w:p>
          <w:p w:rsidR="00214F62" w:rsidRPr="00BF6B4C" w:rsidRDefault="00214F62" w:rsidP="00214F62">
            <w:pPr>
              <w:autoSpaceDE w:val="0"/>
              <w:autoSpaceDN w:val="0"/>
              <w:adjustRightInd w:val="0"/>
              <w:spacing w:after="0" w:line="241" w:lineRule="atLeast"/>
              <w:jc w:val="center"/>
              <w:rPr>
                <w:rFonts w:ascii="Arial" w:hAnsi="Arial" w:cs="Arial"/>
                <w:color w:val="000000"/>
                <w:sz w:val="20"/>
                <w:szCs w:val="20"/>
                <w:lang w:val="es-MX"/>
              </w:rPr>
            </w:pPr>
            <w:r>
              <w:rPr>
                <w:rFonts w:ascii="Arial" w:hAnsi="Arial" w:cs="Arial"/>
                <w:b/>
                <w:bCs/>
                <w:color w:val="000000"/>
                <w:sz w:val="20"/>
                <w:szCs w:val="20"/>
                <w:lang w:val="es-MX"/>
              </w:rPr>
              <w:t>Evaluados</w:t>
            </w:r>
          </w:p>
        </w:tc>
        <w:tc>
          <w:tcPr>
            <w:tcW w:w="3827" w:type="dxa"/>
            <w:gridSpan w:val="2"/>
          </w:tcPr>
          <w:p w:rsidR="00214F62" w:rsidRPr="00BF6B4C" w:rsidRDefault="00214F62" w:rsidP="00214F62">
            <w:pPr>
              <w:autoSpaceDE w:val="0"/>
              <w:autoSpaceDN w:val="0"/>
              <w:adjustRightInd w:val="0"/>
              <w:spacing w:after="0" w:line="241" w:lineRule="atLeast"/>
              <w:jc w:val="center"/>
              <w:rPr>
                <w:rFonts w:ascii="Arial" w:hAnsi="Arial" w:cs="Arial"/>
                <w:color w:val="000000"/>
                <w:sz w:val="20"/>
                <w:szCs w:val="20"/>
                <w:lang w:val="es-MX"/>
              </w:rPr>
            </w:pPr>
            <w:r w:rsidRPr="00BF6B4C">
              <w:rPr>
                <w:rFonts w:ascii="Arial" w:hAnsi="Arial" w:cs="Arial"/>
                <w:b/>
                <w:bCs/>
                <w:color w:val="000000"/>
                <w:sz w:val="20"/>
                <w:szCs w:val="20"/>
                <w:lang w:val="es-MX"/>
              </w:rPr>
              <w:t xml:space="preserve">Fecha </w:t>
            </w:r>
          </w:p>
        </w:tc>
        <w:tc>
          <w:tcPr>
            <w:tcW w:w="2287" w:type="dxa"/>
            <w:vMerge w:val="restart"/>
          </w:tcPr>
          <w:p w:rsidR="00214F62" w:rsidRPr="00BF6B4C" w:rsidRDefault="00214F62" w:rsidP="00214F62">
            <w:pPr>
              <w:autoSpaceDE w:val="0"/>
              <w:autoSpaceDN w:val="0"/>
              <w:adjustRightInd w:val="0"/>
              <w:spacing w:after="0" w:line="241" w:lineRule="atLeast"/>
              <w:jc w:val="center"/>
              <w:rPr>
                <w:rFonts w:ascii="Arial" w:hAnsi="Arial" w:cs="Arial"/>
                <w:color w:val="000000"/>
                <w:sz w:val="20"/>
                <w:szCs w:val="20"/>
                <w:lang w:val="es-MX"/>
              </w:rPr>
            </w:pPr>
            <w:r w:rsidRPr="00BF6B4C">
              <w:rPr>
                <w:rFonts w:ascii="Arial" w:hAnsi="Arial" w:cs="Arial"/>
                <w:b/>
                <w:bCs/>
                <w:color w:val="000000"/>
                <w:sz w:val="20"/>
                <w:szCs w:val="20"/>
                <w:lang w:val="es-MX"/>
              </w:rPr>
              <w:t>Producto entregable</w:t>
            </w:r>
          </w:p>
        </w:tc>
      </w:tr>
      <w:tr w:rsidR="00214F62" w:rsidRPr="00BF6B4C" w:rsidTr="00214F62">
        <w:trPr>
          <w:trHeight w:val="200"/>
          <w:jc w:val="center"/>
        </w:trPr>
        <w:tc>
          <w:tcPr>
            <w:tcW w:w="2178" w:type="dxa"/>
            <w:vMerge/>
          </w:tcPr>
          <w:p w:rsidR="00214F62" w:rsidRPr="00BF6B4C" w:rsidRDefault="00214F62" w:rsidP="00214F62">
            <w:pPr>
              <w:autoSpaceDE w:val="0"/>
              <w:autoSpaceDN w:val="0"/>
              <w:adjustRightInd w:val="0"/>
              <w:spacing w:after="0" w:line="241" w:lineRule="atLeast"/>
              <w:jc w:val="center"/>
              <w:rPr>
                <w:rFonts w:ascii="Arial" w:hAnsi="Arial" w:cs="Arial"/>
                <w:b/>
                <w:bCs/>
                <w:color w:val="000000"/>
                <w:sz w:val="20"/>
                <w:szCs w:val="20"/>
                <w:lang w:val="es-MX"/>
              </w:rPr>
            </w:pPr>
          </w:p>
        </w:tc>
        <w:tc>
          <w:tcPr>
            <w:tcW w:w="1985" w:type="dxa"/>
            <w:vMerge/>
          </w:tcPr>
          <w:p w:rsidR="00214F62" w:rsidRPr="00BF6B4C" w:rsidRDefault="00214F62" w:rsidP="00214F62">
            <w:pPr>
              <w:autoSpaceDE w:val="0"/>
              <w:autoSpaceDN w:val="0"/>
              <w:adjustRightInd w:val="0"/>
              <w:spacing w:after="0" w:line="241" w:lineRule="atLeast"/>
              <w:jc w:val="center"/>
              <w:rPr>
                <w:rFonts w:ascii="Arial" w:hAnsi="Arial" w:cs="Arial"/>
                <w:b/>
                <w:bCs/>
                <w:color w:val="000000"/>
                <w:sz w:val="20"/>
                <w:szCs w:val="20"/>
                <w:lang w:val="es-MX"/>
              </w:rPr>
            </w:pPr>
          </w:p>
        </w:tc>
        <w:tc>
          <w:tcPr>
            <w:tcW w:w="2126" w:type="dxa"/>
            <w:vMerge/>
          </w:tcPr>
          <w:p w:rsidR="00214F62" w:rsidRPr="00BF6B4C" w:rsidRDefault="00214F62" w:rsidP="00214F62">
            <w:pPr>
              <w:autoSpaceDE w:val="0"/>
              <w:autoSpaceDN w:val="0"/>
              <w:adjustRightInd w:val="0"/>
              <w:spacing w:after="0" w:line="241" w:lineRule="atLeast"/>
              <w:jc w:val="center"/>
              <w:rPr>
                <w:rFonts w:ascii="Arial" w:hAnsi="Arial" w:cs="Arial"/>
                <w:b/>
                <w:bCs/>
                <w:color w:val="000000"/>
                <w:sz w:val="20"/>
                <w:szCs w:val="20"/>
                <w:lang w:val="es-MX"/>
              </w:rPr>
            </w:pPr>
          </w:p>
        </w:tc>
        <w:tc>
          <w:tcPr>
            <w:tcW w:w="1701" w:type="dxa"/>
          </w:tcPr>
          <w:p w:rsidR="00214F62" w:rsidRPr="00BF6B4C" w:rsidRDefault="00214F62" w:rsidP="00214F62">
            <w:pPr>
              <w:autoSpaceDE w:val="0"/>
              <w:autoSpaceDN w:val="0"/>
              <w:adjustRightInd w:val="0"/>
              <w:spacing w:after="0" w:line="241" w:lineRule="atLeast"/>
              <w:jc w:val="center"/>
              <w:rPr>
                <w:rFonts w:ascii="Arial" w:hAnsi="Arial" w:cs="Arial"/>
                <w:b/>
                <w:bCs/>
                <w:color w:val="000000"/>
                <w:sz w:val="20"/>
                <w:szCs w:val="20"/>
                <w:lang w:val="es-MX"/>
              </w:rPr>
            </w:pPr>
            <w:r>
              <w:rPr>
                <w:rFonts w:ascii="Arial" w:hAnsi="Arial" w:cs="Arial"/>
                <w:b/>
                <w:bCs/>
                <w:color w:val="000000"/>
                <w:sz w:val="20"/>
                <w:szCs w:val="20"/>
                <w:lang w:val="es-MX"/>
              </w:rPr>
              <w:t>I</w:t>
            </w:r>
            <w:r w:rsidRPr="00BF6B4C">
              <w:rPr>
                <w:rFonts w:ascii="Arial" w:hAnsi="Arial" w:cs="Arial"/>
                <w:b/>
                <w:bCs/>
                <w:color w:val="000000"/>
                <w:sz w:val="20"/>
                <w:szCs w:val="20"/>
                <w:lang w:val="es-MX"/>
              </w:rPr>
              <w:t>nicio</w:t>
            </w:r>
          </w:p>
        </w:tc>
        <w:tc>
          <w:tcPr>
            <w:tcW w:w="2126" w:type="dxa"/>
          </w:tcPr>
          <w:p w:rsidR="00214F62" w:rsidRPr="00BF6B4C" w:rsidRDefault="00214F62" w:rsidP="00214F62">
            <w:pPr>
              <w:autoSpaceDE w:val="0"/>
              <w:autoSpaceDN w:val="0"/>
              <w:adjustRightInd w:val="0"/>
              <w:spacing w:after="0" w:line="241" w:lineRule="atLeast"/>
              <w:jc w:val="center"/>
              <w:rPr>
                <w:rFonts w:ascii="Arial" w:hAnsi="Arial" w:cs="Arial"/>
                <w:b/>
                <w:bCs/>
                <w:color w:val="000000"/>
                <w:sz w:val="20"/>
                <w:szCs w:val="20"/>
                <w:lang w:val="es-MX"/>
              </w:rPr>
            </w:pPr>
            <w:r>
              <w:rPr>
                <w:rFonts w:ascii="Arial" w:hAnsi="Arial" w:cs="Arial"/>
                <w:b/>
                <w:bCs/>
                <w:color w:val="000000"/>
                <w:sz w:val="20"/>
                <w:szCs w:val="20"/>
                <w:lang w:val="es-MX"/>
              </w:rPr>
              <w:t>Termino</w:t>
            </w:r>
          </w:p>
        </w:tc>
        <w:tc>
          <w:tcPr>
            <w:tcW w:w="2287" w:type="dxa"/>
            <w:vMerge/>
          </w:tcPr>
          <w:p w:rsidR="00214F62" w:rsidRPr="00BF6B4C" w:rsidRDefault="00214F62" w:rsidP="00214F62">
            <w:pPr>
              <w:autoSpaceDE w:val="0"/>
              <w:autoSpaceDN w:val="0"/>
              <w:adjustRightInd w:val="0"/>
              <w:spacing w:after="0" w:line="241" w:lineRule="atLeast"/>
              <w:jc w:val="center"/>
              <w:rPr>
                <w:rFonts w:ascii="Arial" w:hAnsi="Arial" w:cs="Arial"/>
                <w:b/>
                <w:bCs/>
                <w:color w:val="000000"/>
                <w:sz w:val="20"/>
                <w:szCs w:val="20"/>
                <w:lang w:val="es-MX"/>
              </w:rPr>
            </w:pPr>
          </w:p>
        </w:tc>
      </w:tr>
      <w:tr w:rsidR="00214F62" w:rsidRPr="00BF6B4C" w:rsidTr="00214F62">
        <w:trPr>
          <w:trHeight w:val="493"/>
          <w:jc w:val="center"/>
        </w:trPr>
        <w:tc>
          <w:tcPr>
            <w:tcW w:w="2178" w:type="dxa"/>
          </w:tcPr>
          <w:p w:rsidR="00214F62" w:rsidRPr="00BF6B4C" w:rsidRDefault="00214F62" w:rsidP="00214F62">
            <w:pPr>
              <w:autoSpaceDE w:val="0"/>
              <w:autoSpaceDN w:val="0"/>
              <w:adjustRightInd w:val="0"/>
              <w:spacing w:after="0" w:line="241" w:lineRule="atLeast"/>
              <w:jc w:val="center"/>
              <w:rPr>
                <w:rFonts w:ascii="Arial" w:hAnsi="Arial" w:cs="Arial"/>
                <w:color w:val="000000"/>
                <w:sz w:val="20"/>
                <w:szCs w:val="20"/>
                <w:lang w:val="es-MX"/>
              </w:rPr>
            </w:pPr>
            <w:r>
              <w:rPr>
                <w:rFonts w:ascii="Arial" w:hAnsi="Arial" w:cs="Arial"/>
                <w:color w:val="000000"/>
                <w:sz w:val="20"/>
                <w:szCs w:val="20"/>
                <w:lang w:val="es-MX"/>
              </w:rPr>
              <w:t xml:space="preserve">5 </w:t>
            </w:r>
            <w:r>
              <w:rPr>
                <w:rFonts w:ascii="Arial" w:hAnsi="Arial" w:cs="Arial"/>
                <w:color w:val="000000"/>
                <w:sz w:val="20"/>
                <w:szCs w:val="20"/>
                <w:lang w:val="es-MX"/>
              </w:rPr>
              <w:t>(una por cada Fondo)</w:t>
            </w:r>
            <w:r>
              <w:rPr>
                <w:rFonts w:ascii="Arial" w:hAnsi="Arial" w:cs="Arial"/>
                <w:color w:val="000000"/>
                <w:sz w:val="20"/>
                <w:szCs w:val="20"/>
                <w:lang w:val="es-MX"/>
              </w:rPr>
              <w:t xml:space="preserve"> </w:t>
            </w:r>
          </w:p>
        </w:tc>
        <w:tc>
          <w:tcPr>
            <w:tcW w:w="1985" w:type="dxa"/>
          </w:tcPr>
          <w:p w:rsidR="00214F62" w:rsidRPr="00BF6B4C" w:rsidRDefault="00214F62" w:rsidP="00214F62">
            <w:pPr>
              <w:autoSpaceDE w:val="0"/>
              <w:autoSpaceDN w:val="0"/>
              <w:adjustRightInd w:val="0"/>
              <w:spacing w:after="0" w:line="241" w:lineRule="atLeast"/>
              <w:rPr>
                <w:rFonts w:ascii="Arial" w:hAnsi="Arial" w:cs="Arial"/>
                <w:color w:val="000000"/>
                <w:sz w:val="20"/>
                <w:szCs w:val="20"/>
                <w:lang w:val="es-MX"/>
              </w:rPr>
            </w:pPr>
            <w:r w:rsidRPr="00BF6B4C">
              <w:rPr>
                <w:rFonts w:ascii="Arial" w:hAnsi="Arial" w:cs="Arial"/>
                <w:color w:val="000000"/>
                <w:sz w:val="20"/>
                <w:szCs w:val="20"/>
                <w:lang w:val="es-MX"/>
              </w:rPr>
              <w:t xml:space="preserve">Evaluación de Consistencia y Resultados </w:t>
            </w:r>
          </w:p>
        </w:tc>
        <w:tc>
          <w:tcPr>
            <w:tcW w:w="2126" w:type="dxa"/>
          </w:tcPr>
          <w:p w:rsidR="00214F62" w:rsidRPr="00BF6B4C" w:rsidRDefault="00214F62" w:rsidP="00214F62">
            <w:pPr>
              <w:autoSpaceDE w:val="0"/>
              <w:autoSpaceDN w:val="0"/>
              <w:adjustRightInd w:val="0"/>
              <w:spacing w:after="0" w:line="241" w:lineRule="atLeast"/>
              <w:jc w:val="both"/>
              <w:rPr>
                <w:rFonts w:ascii="Arial" w:hAnsi="Arial" w:cs="Arial"/>
                <w:color w:val="000000"/>
                <w:sz w:val="20"/>
                <w:szCs w:val="20"/>
                <w:lang w:val="es-MX"/>
              </w:rPr>
            </w:pPr>
            <w:r w:rsidRPr="00BF6B4C">
              <w:rPr>
                <w:rFonts w:ascii="Arial" w:hAnsi="Arial" w:cs="Arial"/>
                <w:color w:val="000000"/>
                <w:sz w:val="20"/>
                <w:szCs w:val="20"/>
                <w:lang w:val="es-MX"/>
              </w:rPr>
              <w:t>FAM</w:t>
            </w:r>
          </w:p>
          <w:p w:rsidR="00214F62" w:rsidRPr="00BF6B4C" w:rsidRDefault="00214F62" w:rsidP="00214F62">
            <w:pPr>
              <w:autoSpaceDE w:val="0"/>
              <w:autoSpaceDN w:val="0"/>
              <w:adjustRightInd w:val="0"/>
              <w:spacing w:after="0" w:line="241" w:lineRule="atLeast"/>
              <w:jc w:val="both"/>
              <w:rPr>
                <w:rFonts w:ascii="Arial" w:hAnsi="Arial" w:cs="Arial"/>
                <w:color w:val="000000"/>
                <w:sz w:val="20"/>
                <w:szCs w:val="20"/>
                <w:lang w:val="es-MX"/>
              </w:rPr>
            </w:pPr>
            <w:r w:rsidRPr="00BF6B4C">
              <w:rPr>
                <w:rFonts w:ascii="Arial" w:hAnsi="Arial" w:cs="Arial"/>
                <w:color w:val="000000"/>
                <w:sz w:val="20"/>
                <w:szCs w:val="20"/>
                <w:lang w:val="es-MX"/>
              </w:rPr>
              <w:t>FAETA</w:t>
            </w:r>
          </w:p>
          <w:p w:rsidR="00214F62" w:rsidRPr="00BF6B4C" w:rsidRDefault="00214F62" w:rsidP="00214F62">
            <w:pPr>
              <w:autoSpaceDE w:val="0"/>
              <w:autoSpaceDN w:val="0"/>
              <w:adjustRightInd w:val="0"/>
              <w:spacing w:after="0" w:line="241" w:lineRule="atLeast"/>
              <w:jc w:val="both"/>
              <w:rPr>
                <w:rFonts w:ascii="Arial" w:hAnsi="Arial" w:cs="Arial"/>
                <w:color w:val="000000"/>
                <w:sz w:val="20"/>
                <w:szCs w:val="20"/>
                <w:lang w:val="es-MX"/>
              </w:rPr>
            </w:pPr>
            <w:r>
              <w:rPr>
                <w:rFonts w:ascii="Arial" w:hAnsi="Arial" w:cs="Arial"/>
                <w:color w:val="000000"/>
                <w:sz w:val="20"/>
                <w:szCs w:val="20"/>
                <w:lang w:val="es-MX"/>
              </w:rPr>
              <w:t>FASSA</w:t>
            </w:r>
          </w:p>
          <w:p w:rsidR="00214F62" w:rsidRDefault="00214F62" w:rsidP="00214F62">
            <w:pPr>
              <w:autoSpaceDE w:val="0"/>
              <w:autoSpaceDN w:val="0"/>
              <w:adjustRightInd w:val="0"/>
              <w:spacing w:after="0" w:line="241" w:lineRule="atLeast"/>
              <w:jc w:val="both"/>
              <w:rPr>
                <w:rFonts w:ascii="Arial" w:hAnsi="Arial" w:cs="Arial"/>
                <w:color w:val="000000"/>
                <w:sz w:val="20"/>
                <w:szCs w:val="20"/>
                <w:lang w:val="es-MX"/>
              </w:rPr>
            </w:pPr>
            <w:r w:rsidRPr="00BF6B4C">
              <w:rPr>
                <w:rFonts w:ascii="Arial" w:hAnsi="Arial" w:cs="Arial"/>
                <w:color w:val="000000"/>
                <w:sz w:val="20"/>
                <w:szCs w:val="20"/>
                <w:lang w:val="es-MX"/>
              </w:rPr>
              <w:t>F</w:t>
            </w:r>
            <w:r>
              <w:rPr>
                <w:rFonts w:ascii="Arial" w:hAnsi="Arial" w:cs="Arial"/>
                <w:color w:val="000000"/>
                <w:sz w:val="20"/>
                <w:szCs w:val="20"/>
                <w:lang w:val="es-MX"/>
              </w:rPr>
              <w:t>AESP</w:t>
            </w:r>
          </w:p>
          <w:p w:rsidR="00214F62" w:rsidRPr="00BF6B4C" w:rsidRDefault="00214F62" w:rsidP="00214F62">
            <w:pPr>
              <w:autoSpaceDE w:val="0"/>
              <w:autoSpaceDN w:val="0"/>
              <w:adjustRightInd w:val="0"/>
              <w:spacing w:after="0" w:line="241" w:lineRule="atLeast"/>
              <w:jc w:val="both"/>
              <w:rPr>
                <w:rFonts w:ascii="Arial" w:hAnsi="Arial" w:cs="Arial"/>
                <w:color w:val="000000"/>
                <w:sz w:val="20"/>
                <w:szCs w:val="20"/>
                <w:lang w:val="es-MX"/>
              </w:rPr>
            </w:pPr>
            <w:r>
              <w:rPr>
                <w:rFonts w:ascii="Arial" w:hAnsi="Arial" w:cs="Arial"/>
                <w:color w:val="000000"/>
                <w:sz w:val="20"/>
                <w:szCs w:val="20"/>
                <w:lang w:val="es-MX"/>
              </w:rPr>
              <w:t>FAEB</w:t>
            </w:r>
          </w:p>
        </w:tc>
        <w:tc>
          <w:tcPr>
            <w:tcW w:w="1701" w:type="dxa"/>
          </w:tcPr>
          <w:p w:rsidR="00214F62" w:rsidRPr="00BF6B4C" w:rsidRDefault="00214F62" w:rsidP="00214F62">
            <w:pPr>
              <w:autoSpaceDE w:val="0"/>
              <w:autoSpaceDN w:val="0"/>
              <w:adjustRightInd w:val="0"/>
              <w:spacing w:after="0" w:line="241" w:lineRule="atLeast"/>
              <w:jc w:val="center"/>
              <w:rPr>
                <w:rFonts w:ascii="Arial" w:hAnsi="Arial" w:cs="Arial"/>
                <w:color w:val="000000"/>
                <w:sz w:val="20"/>
                <w:szCs w:val="20"/>
                <w:lang w:val="es-MX"/>
              </w:rPr>
            </w:pPr>
            <w:r>
              <w:rPr>
                <w:rFonts w:ascii="Arial" w:hAnsi="Arial" w:cs="Arial"/>
                <w:color w:val="000000"/>
                <w:sz w:val="20"/>
                <w:szCs w:val="20"/>
                <w:lang w:val="es-MX"/>
              </w:rPr>
              <w:t>Agosto</w:t>
            </w:r>
            <w:r>
              <w:rPr>
                <w:rFonts w:ascii="Arial" w:hAnsi="Arial" w:cs="Arial"/>
                <w:color w:val="000000"/>
                <w:sz w:val="20"/>
                <w:szCs w:val="20"/>
                <w:lang w:val="es-MX"/>
              </w:rPr>
              <w:t xml:space="preserve"> </w:t>
            </w:r>
            <w:r w:rsidRPr="00BF6B4C">
              <w:rPr>
                <w:rFonts w:ascii="Arial" w:hAnsi="Arial" w:cs="Arial"/>
                <w:color w:val="000000"/>
                <w:sz w:val="20"/>
                <w:szCs w:val="20"/>
                <w:lang w:val="es-MX"/>
              </w:rPr>
              <w:t>del 201</w:t>
            </w:r>
            <w:r>
              <w:rPr>
                <w:rFonts w:ascii="Arial" w:hAnsi="Arial" w:cs="Arial"/>
                <w:color w:val="000000"/>
                <w:sz w:val="20"/>
                <w:szCs w:val="20"/>
                <w:lang w:val="es-MX"/>
              </w:rPr>
              <w:t>4</w:t>
            </w:r>
            <w:r w:rsidRPr="00BF6B4C">
              <w:rPr>
                <w:rFonts w:ascii="Arial" w:hAnsi="Arial" w:cs="Arial"/>
                <w:color w:val="000000"/>
                <w:sz w:val="20"/>
                <w:szCs w:val="20"/>
                <w:lang w:val="es-MX"/>
              </w:rPr>
              <w:t xml:space="preserve"> </w:t>
            </w:r>
          </w:p>
        </w:tc>
        <w:tc>
          <w:tcPr>
            <w:tcW w:w="2126" w:type="dxa"/>
          </w:tcPr>
          <w:p w:rsidR="00214F62" w:rsidRPr="00BF6B4C" w:rsidRDefault="00214F62" w:rsidP="00214F62">
            <w:pPr>
              <w:autoSpaceDE w:val="0"/>
              <w:autoSpaceDN w:val="0"/>
              <w:adjustRightInd w:val="0"/>
              <w:spacing w:after="0" w:line="241" w:lineRule="atLeast"/>
              <w:jc w:val="center"/>
              <w:rPr>
                <w:rFonts w:ascii="Arial" w:hAnsi="Arial" w:cs="Arial"/>
                <w:color w:val="000000"/>
                <w:sz w:val="20"/>
                <w:szCs w:val="20"/>
                <w:lang w:val="es-MX"/>
              </w:rPr>
            </w:pPr>
            <w:r w:rsidRPr="00BF6B4C">
              <w:rPr>
                <w:rFonts w:ascii="Arial" w:hAnsi="Arial" w:cs="Arial"/>
                <w:color w:val="000000"/>
                <w:sz w:val="20"/>
                <w:szCs w:val="20"/>
                <w:lang w:val="es-MX"/>
              </w:rPr>
              <w:t>Noviembre de 201</w:t>
            </w:r>
            <w:r>
              <w:rPr>
                <w:rFonts w:ascii="Arial" w:hAnsi="Arial" w:cs="Arial"/>
                <w:color w:val="000000"/>
                <w:sz w:val="20"/>
                <w:szCs w:val="20"/>
                <w:lang w:val="es-MX"/>
              </w:rPr>
              <w:t>4</w:t>
            </w:r>
          </w:p>
        </w:tc>
        <w:tc>
          <w:tcPr>
            <w:tcW w:w="2287" w:type="dxa"/>
          </w:tcPr>
          <w:p w:rsidR="00214F62" w:rsidRPr="00BF6B4C" w:rsidRDefault="00214F62" w:rsidP="00214F62">
            <w:pPr>
              <w:autoSpaceDE w:val="0"/>
              <w:autoSpaceDN w:val="0"/>
              <w:adjustRightInd w:val="0"/>
              <w:spacing w:after="0" w:line="241" w:lineRule="atLeast"/>
              <w:jc w:val="center"/>
              <w:rPr>
                <w:rFonts w:ascii="Arial" w:hAnsi="Arial" w:cs="Arial"/>
                <w:color w:val="000000"/>
                <w:sz w:val="20"/>
                <w:szCs w:val="20"/>
                <w:lang w:val="es-MX"/>
              </w:rPr>
            </w:pPr>
            <w:r w:rsidRPr="00BF6B4C">
              <w:rPr>
                <w:rFonts w:ascii="Arial" w:hAnsi="Arial" w:cs="Arial"/>
                <w:color w:val="000000"/>
                <w:sz w:val="20"/>
                <w:szCs w:val="20"/>
                <w:lang w:val="es-MX"/>
              </w:rPr>
              <w:t xml:space="preserve">Informe Final de Evaluación </w:t>
            </w:r>
          </w:p>
        </w:tc>
      </w:tr>
    </w:tbl>
    <w:p w:rsidR="00265C84" w:rsidRDefault="00265C84" w:rsidP="00265C84">
      <w:pPr>
        <w:pStyle w:val="Default"/>
      </w:pPr>
    </w:p>
    <w:p w:rsidR="00214F62" w:rsidRDefault="00214F62" w:rsidP="00214F62">
      <w:pPr>
        <w:autoSpaceDE w:val="0"/>
        <w:autoSpaceDN w:val="0"/>
        <w:adjustRightInd w:val="0"/>
        <w:spacing w:after="0" w:line="241" w:lineRule="atLeast"/>
        <w:jc w:val="center"/>
        <w:rPr>
          <w:rFonts w:ascii="Arial" w:hAnsi="Arial" w:cs="Arial"/>
          <w:b/>
          <w:bCs/>
          <w:color w:val="000000"/>
          <w:szCs w:val="20"/>
          <w:lang w:val="es-MX"/>
        </w:rPr>
      </w:pPr>
      <w:r w:rsidRPr="00214F62">
        <w:rPr>
          <w:rFonts w:ascii="Arial" w:hAnsi="Arial" w:cs="Arial"/>
          <w:b/>
          <w:bCs/>
          <w:color w:val="000000"/>
          <w:szCs w:val="20"/>
          <w:lang w:val="es-MX"/>
        </w:rPr>
        <w:t>Programas Presupuestales</w:t>
      </w:r>
      <w:r>
        <w:rPr>
          <w:rFonts w:ascii="Arial" w:hAnsi="Arial" w:cs="Arial"/>
          <w:b/>
          <w:bCs/>
          <w:color w:val="000000"/>
          <w:szCs w:val="20"/>
          <w:lang w:val="es-MX"/>
        </w:rPr>
        <w:t xml:space="preserve"> y dependencias</w:t>
      </w:r>
      <w:r w:rsidRPr="00214F62">
        <w:rPr>
          <w:rFonts w:ascii="Arial" w:hAnsi="Arial" w:cs="Arial"/>
          <w:b/>
          <w:bCs/>
          <w:color w:val="000000"/>
          <w:szCs w:val="20"/>
          <w:lang w:val="es-MX"/>
        </w:rPr>
        <w:t xml:space="preserve"> </w:t>
      </w:r>
      <w:r>
        <w:rPr>
          <w:rFonts w:ascii="Arial" w:hAnsi="Arial" w:cs="Arial"/>
          <w:b/>
          <w:bCs/>
          <w:color w:val="000000"/>
          <w:szCs w:val="20"/>
          <w:lang w:val="es-MX"/>
        </w:rPr>
        <w:t>Vinculados a los Fon</w:t>
      </w:r>
      <w:r w:rsidR="008A736E">
        <w:rPr>
          <w:rFonts w:ascii="Arial" w:hAnsi="Arial" w:cs="Arial"/>
          <w:b/>
          <w:bCs/>
          <w:color w:val="000000"/>
          <w:szCs w:val="20"/>
          <w:lang w:val="es-MX"/>
        </w:rPr>
        <w:t>d</w:t>
      </w:r>
      <w:r>
        <w:rPr>
          <w:rFonts w:ascii="Arial" w:hAnsi="Arial" w:cs="Arial"/>
          <w:b/>
          <w:bCs/>
          <w:color w:val="000000"/>
          <w:szCs w:val="20"/>
          <w:lang w:val="es-MX"/>
        </w:rPr>
        <w:t>os a evaluarse</w:t>
      </w:r>
    </w:p>
    <w:p w:rsidR="003B61A5" w:rsidRPr="00A86A55" w:rsidRDefault="00214F62" w:rsidP="002D62D8">
      <w:pPr>
        <w:autoSpaceDE w:val="0"/>
        <w:autoSpaceDN w:val="0"/>
        <w:adjustRightInd w:val="0"/>
        <w:spacing w:after="0" w:line="241" w:lineRule="atLeast"/>
      </w:pPr>
      <w:r>
        <w:rPr>
          <w:rFonts w:ascii="Arial" w:hAnsi="Arial" w:cs="Arial"/>
          <w:b/>
          <w:bCs/>
          <w:color w:val="000000"/>
          <w:szCs w:val="20"/>
          <w:lang w:val="es-MX"/>
        </w:rPr>
        <w:object w:dxaOrig="17995" w:dyaOrig="6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715.3pt;height:261.1pt" o:ole="">
            <v:imagedata r:id="rId19" o:title=""/>
          </v:shape>
          <o:OLEObject Type="Embed" ProgID="Excel.Sheet.12" ShapeID="_x0000_i1039" DrawAspect="Content" ObjectID="_1460374140" r:id="rId20"/>
        </w:object>
      </w:r>
      <w:r w:rsidRPr="00214F62">
        <w:rPr>
          <w:rFonts w:ascii="Arial" w:hAnsi="Arial" w:cs="Arial"/>
          <w:bCs/>
          <w:color w:val="000000"/>
          <w:sz w:val="18"/>
          <w:szCs w:val="20"/>
          <w:lang w:val="es-MX"/>
        </w:rPr>
        <w:t xml:space="preserve">Nota: </w:t>
      </w:r>
      <w:r w:rsidR="008A736E">
        <w:rPr>
          <w:rFonts w:ascii="Arial" w:hAnsi="Arial" w:cs="Arial"/>
          <w:bCs/>
          <w:color w:val="000000"/>
          <w:sz w:val="18"/>
          <w:szCs w:val="20"/>
          <w:lang w:val="es-MX"/>
        </w:rPr>
        <w:t>El análisis particular en la</w:t>
      </w:r>
      <w:r w:rsidRPr="00214F62">
        <w:rPr>
          <w:rFonts w:ascii="Arial" w:hAnsi="Arial" w:cs="Arial"/>
          <w:bCs/>
          <w:color w:val="000000"/>
          <w:sz w:val="18"/>
          <w:szCs w:val="20"/>
          <w:lang w:val="es-MX"/>
        </w:rPr>
        <w:t xml:space="preserve"> evaluación de los Fondos </w:t>
      </w:r>
      <w:r w:rsidR="008A736E">
        <w:rPr>
          <w:rFonts w:ascii="Arial" w:hAnsi="Arial" w:cs="Arial"/>
          <w:bCs/>
          <w:color w:val="000000"/>
          <w:sz w:val="18"/>
          <w:szCs w:val="20"/>
          <w:lang w:val="es-MX"/>
        </w:rPr>
        <w:t xml:space="preserve">podrá aumentar o disminuir </w:t>
      </w:r>
      <w:proofErr w:type="spellStart"/>
      <w:r w:rsidR="008A736E">
        <w:rPr>
          <w:rFonts w:ascii="Arial" w:hAnsi="Arial" w:cs="Arial"/>
          <w:bCs/>
          <w:color w:val="000000"/>
          <w:sz w:val="18"/>
          <w:szCs w:val="20"/>
          <w:lang w:val="es-MX"/>
        </w:rPr>
        <w:t>Pp</w:t>
      </w:r>
      <w:proofErr w:type="spellEnd"/>
      <w:r w:rsidR="008A736E">
        <w:rPr>
          <w:rFonts w:ascii="Arial" w:hAnsi="Arial" w:cs="Arial"/>
          <w:bCs/>
          <w:color w:val="000000"/>
          <w:sz w:val="18"/>
          <w:szCs w:val="20"/>
          <w:lang w:val="es-MX"/>
        </w:rPr>
        <w:t xml:space="preserve"> y/o dependencias.</w:t>
      </w:r>
    </w:p>
    <w:sectPr w:rsidR="003B61A5" w:rsidRPr="00A86A55" w:rsidSect="003B61A5">
      <w:pgSz w:w="16838" w:h="11906" w:orient="landscape"/>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61A5" w:rsidRDefault="003B61A5" w:rsidP="004A26D1">
      <w:pPr>
        <w:spacing w:after="0" w:line="240" w:lineRule="auto"/>
      </w:pPr>
      <w:r>
        <w:separator/>
      </w:r>
    </w:p>
  </w:endnote>
  <w:endnote w:type="continuationSeparator" w:id="0">
    <w:p w:rsidR="003B61A5" w:rsidRDefault="003B61A5" w:rsidP="004A26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2617146"/>
      <w:docPartObj>
        <w:docPartGallery w:val="Page Numbers (Bottom of Page)"/>
        <w:docPartUnique/>
      </w:docPartObj>
    </w:sdtPr>
    <w:sdtContent>
      <w:p w:rsidR="008A736E" w:rsidRDefault="008A736E">
        <w:pPr>
          <w:pStyle w:val="Piedepgina"/>
          <w:jc w:val="right"/>
        </w:pPr>
        <w:r>
          <w:fldChar w:fldCharType="begin"/>
        </w:r>
        <w:r>
          <w:instrText>PAGE   \* MERGEFORMAT</w:instrText>
        </w:r>
        <w:r>
          <w:fldChar w:fldCharType="separate"/>
        </w:r>
        <w:r w:rsidR="002C7E7E">
          <w:rPr>
            <w:noProof/>
          </w:rPr>
          <w:t>11</w:t>
        </w:r>
        <w:r>
          <w:fldChar w:fldCharType="end"/>
        </w:r>
      </w:p>
    </w:sdtContent>
  </w:sdt>
  <w:p w:rsidR="008A736E" w:rsidRDefault="008A736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61A5" w:rsidRDefault="003B61A5" w:rsidP="004A26D1">
      <w:pPr>
        <w:spacing w:after="0" w:line="240" w:lineRule="auto"/>
      </w:pPr>
      <w:r>
        <w:separator/>
      </w:r>
    </w:p>
  </w:footnote>
  <w:footnote w:type="continuationSeparator" w:id="0">
    <w:p w:rsidR="003B61A5" w:rsidRDefault="003B61A5" w:rsidP="004A26D1">
      <w:pPr>
        <w:spacing w:after="0" w:line="240" w:lineRule="auto"/>
      </w:pPr>
      <w:r>
        <w:continuationSeparator/>
      </w:r>
    </w:p>
  </w:footnote>
  <w:footnote w:id="1">
    <w:p w:rsidR="003B61A5" w:rsidRPr="004A26D1" w:rsidRDefault="003B61A5" w:rsidP="004A26D1">
      <w:pPr>
        <w:jc w:val="both"/>
        <w:rPr>
          <w:sz w:val="24"/>
        </w:rPr>
      </w:pPr>
      <w:r>
        <w:rPr>
          <w:rStyle w:val="Refdenotaalpie"/>
        </w:rPr>
        <w:footnoteRef/>
      </w:r>
      <w:r>
        <w:t xml:space="preserve"> </w:t>
      </w:r>
      <w:r w:rsidRPr="004A26D1">
        <w:rPr>
          <w:rFonts w:ascii="Times New Roman" w:hAnsi="Times New Roman" w:cs="Times New Roman"/>
          <w:sz w:val="12"/>
          <w:szCs w:val="10"/>
        </w:rPr>
        <w:t xml:space="preserve">Los tipos de evaluación se definirán tomando de referencia a los Lineamiento Generales para la Evaluación de los Programas Federales de la Administración Pública Federal y se aplicaran según la fuente de inversión con la que se financien los Programas Presupuestales. </w:t>
      </w:r>
      <w:r w:rsidRPr="004A26D1">
        <w:rPr>
          <w:sz w:val="24"/>
        </w:rPr>
        <w:t xml:space="preserve"> </w:t>
      </w:r>
    </w:p>
    <w:p w:rsidR="003B61A5" w:rsidRDefault="003B61A5">
      <w:pPr>
        <w:pStyle w:val="Textonotapie"/>
      </w:pPr>
    </w:p>
  </w:footnote>
  <w:footnote w:id="2">
    <w:p w:rsidR="003B61A5" w:rsidRPr="008927EA" w:rsidRDefault="003B61A5" w:rsidP="008927EA">
      <w:pPr>
        <w:pStyle w:val="Default"/>
        <w:rPr>
          <w:color w:val="auto"/>
          <w:sz w:val="28"/>
          <w:szCs w:val="22"/>
        </w:rPr>
      </w:pPr>
      <w:r>
        <w:rPr>
          <w:rStyle w:val="Refdenotaalpie"/>
        </w:rPr>
        <w:footnoteRef/>
      </w:r>
      <w:r>
        <w:t xml:space="preserve"> </w:t>
      </w:r>
      <w:r>
        <w:rPr>
          <w:rFonts w:ascii="Times New Roman" w:hAnsi="Times New Roman" w:cs="Times New Roman"/>
          <w:sz w:val="10"/>
          <w:szCs w:val="10"/>
        </w:rPr>
        <w:t xml:space="preserve"> </w:t>
      </w:r>
      <w:r w:rsidRPr="008927EA">
        <w:rPr>
          <w:rFonts w:ascii="Times New Roman" w:hAnsi="Times New Roman" w:cs="Times New Roman"/>
          <w:sz w:val="14"/>
          <w:szCs w:val="10"/>
        </w:rPr>
        <w:t xml:space="preserve">Lineamientos Generales para la evaluación de los Programas Federales de la Administración Pública Federal </w:t>
      </w:r>
    </w:p>
    <w:p w:rsidR="003B61A5" w:rsidRDefault="003B61A5">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7E7E" w:rsidRDefault="002C7E7E">
    <w:pPr>
      <w:pStyle w:val="Encabezado"/>
    </w:pPr>
    <w:r>
      <w:rPr>
        <w:noProof/>
      </w:rPr>
      <mc:AlternateContent>
        <mc:Choice Requires="wps">
          <w:drawing>
            <wp:anchor distT="45720" distB="45720" distL="114300" distR="114300" simplePos="0" relativeHeight="251660288" behindDoc="0" locked="0" layoutInCell="1" allowOverlap="1" wp14:anchorId="5C115F79" wp14:editId="21888145">
              <wp:simplePos x="0" y="0"/>
              <wp:positionH relativeFrom="column">
                <wp:posOffset>1652574</wp:posOffset>
              </wp:positionH>
              <wp:positionV relativeFrom="paragraph">
                <wp:posOffset>-98950</wp:posOffset>
              </wp:positionV>
              <wp:extent cx="1200150"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404620"/>
                      </a:xfrm>
                      <a:prstGeom prst="rect">
                        <a:avLst/>
                      </a:prstGeom>
                      <a:noFill/>
                      <a:ln w="9525">
                        <a:noFill/>
                        <a:miter lim="800000"/>
                        <a:headEnd/>
                        <a:tailEnd/>
                      </a:ln>
                    </wps:spPr>
                    <wps:txbx>
                      <w:txbxContent>
                        <w:p w:rsidR="002C7E7E" w:rsidRPr="002C7E7E" w:rsidRDefault="002C7E7E">
                          <w:pPr>
                            <w:rPr>
                              <w:rFonts w:ascii="Arial Narrow" w:hAnsi="Arial Narrow"/>
                              <w:b/>
                              <w:color w:val="808080" w:themeColor="background1" w:themeShade="80"/>
                              <w:sz w:val="18"/>
                            </w:rPr>
                          </w:pPr>
                          <w:r w:rsidRPr="002C7E7E">
                            <w:rPr>
                              <w:rFonts w:ascii="Arial Narrow" w:hAnsi="Arial Narrow"/>
                              <w:b/>
                              <w:color w:val="808080" w:themeColor="background1" w:themeShade="80"/>
                              <w:sz w:val="18"/>
                            </w:rPr>
                            <w:t>Gobierno del Estado de Nayarit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C115F79" id="_x0000_t202" coordsize="21600,21600" o:spt="202" path="m,l,21600r21600,l21600,xe">
              <v:stroke joinstyle="miter"/>
              <v:path gradientshapeok="t" o:connecttype="rect"/>
            </v:shapetype>
            <v:shape id="Cuadro de texto 2" o:spid="_x0000_s1026" type="#_x0000_t202" style="position:absolute;margin-left:130.1pt;margin-top:-7.8pt;width:94.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" filled="f" stroked="f">
              <v:textbox style="mso-fit-shape-to-text:t">
                <w:txbxContent>
                  <w:p w:rsidR="002C7E7E" w:rsidRPr="002C7E7E" w:rsidRDefault="002C7E7E">
                    <w:pPr>
                      <w:rPr>
                        <w:rFonts w:ascii="Arial Narrow" w:hAnsi="Arial Narrow"/>
                        <w:b/>
                        <w:color w:val="808080" w:themeColor="background1" w:themeShade="80"/>
                        <w:sz w:val="18"/>
                      </w:rPr>
                    </w:pPr>
                    <w:r w:rsidRPr="002C7E7E">
                      <w:rPr>
                        <w:rFonts w:ascii="Arial Narrow" w:hAnsi="Arial Narrow"/>
                        <w:b/>
                        <w:color w:val="808080" w:themeColor="background1" w:themeShade="80"/>
                        <w:sz w:val="18"/>
                      </w:rPr>
                      <w:t>Gobierno del Estado de Nayarit</w:t>
                    </w:r>
                  </w:p>
                </w:txbxContent>
              </v:textbox>
              <w10:wrap type="square"/>
            </v:shape>
          </w:pict>
        </mc:Fallback>
      </mc:AlternateContent>
    </w:r>
    <w:r>
      <w:rPr>
        <w:noProof/>
        <w:lang w:val="es-MX" w:eastAsia="es-MX"/>
      </w:rPr>
      <w:drawing>
        <wp:anchor distT="0" distB="0" distL="114300" distR="114300" simplePos="0" relativeHeight="251658240" behindDoc="1" locked="0" layoutInCell="1" allowOverlap="1" wp14:anchorId="408A7925" wp14:editId="1B56629A">
          <wp:simplePos x="0" y="0"/>
          <wp:positionH relativeFrom="page">
            <wp:align>left</wp:align>
          </wp:positionH>
          <wp:positionV relativeFrom="page">
            <wp:align>top</wp:align>
          </wp:positionV>
          <wp:extent cx="2798859" cy="879237"/>
          <wp:effectExtent l="0" t="0" r="190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rotWithShape="1">
                  <a:blip r:embed="rId1">
                    <a:extLst>
                      <a:ext uri="{28A0092B-C50C-407E-A947-70E740481C1C}">
                        <a14:useLocalDpi xmlns:a14="http://schemas.microsoft.com/office/drawing/2010/main" val="0"/>
                      </a:ext>
                    </a:extLst>
                  </a:blip>
                  <a:srcRect r="42578"/>
                  <a:stretch/>
                </pic:blipFill>
                <pic:spPr bwMode="auto">
                  <a:xfrm>
                    <a:off x="0" y="0"/>
                    <a:ext cx="2798859" cy="8792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1C770A"/>
    <w:multiLevelType w:val="hybridMultilevel"/>
    <w:tmpl w:val="C9EAB1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81226A9"/>
    <w:multiLevelType w:val="hybridMultilevel"/>
    <w:tmpl w:val="91804DA8"/>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
    <w:nsid w:val="256A1C06"/>
    <w:multiLevelType w:val="hybridMultilevel"/>
    <w:tmpl w:val="6DEEB8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B7614F5"/>
    <w:multiLevelType w:val="hybridMultilevel"/>
    <w:tmpl w:val="4A50703C"/>
    <w:lvl w:ilvl="0" w:tplc="0C0A000D">
      <w:start w:val="1"/>
      <w:numFmt w:val="bullet"/>
      <w:lvlText w:val=""/>
      <w:lvlJc w:val="left"/>
      <w:pPr>
        <w:ind w:left="1776" w:hanging="360"/>
      </w:pPr>
      <w:rPr>
        <w:rFonts w:ascii="Wingdings" w:hAnsi="Wingdings"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4">
    <w:nsid w:val="33480CBD"/>
    <w:multiLevelType w:val="hybridMultilevel"/>
    <w:tmpl w:val="BFA6F84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33922779"/>
    <w:multiLevelType w:val="hybridMultilevel"/>
    <w:tmpl w:val="05828B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E8B0FF8"/>
    <w:multiLevelType w:val="hybridMultilevel"/>
    <w:tmpl w:val="929274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40971C0B"/>
    <w:multiLevelType w:val="hybridMultilevel"/>
    <w:tmpl w:val="F864B7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44CE55F5"/>
    <w:multiLevelType w:val="hybridMultilevel"/>
    <w:tmpl w:val="9A9CF5D8"/>
    <w:lvl w:ilvl="0" w:tplc="109A5DE2">
      <w:numFmt w:val="bullet"/>
      <w:lvlText w:val=""/>
      <w:lvlJc w:val="left"/>
      <w:pPr>
        <w:ind w:left="1776" w:hanging="360"/>
      </w:pPr>
      <w:rPr>
        <w:rFonts w:ascii="Arial" w:eastAsiaTheme="minorHAnsi" w:hAnsi="Arial" w:cs="Aria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9">
    <w:nsid w:val="4A793965"/>
    <w:multiLevelType w:val="hybridMultilevel"/>
    <w:tmpl w:val="70862C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56F0006E"/>
    <w:multiLevelType w:val="hybridMultilevel"/>
    <w:tmpl w:val="09B4B16E"/>
    <w:lvl w:ilvl="0" w:tplc="109A5DE2">
      <w:numFmt w:val="bullet"/>
      <w:lvlText w:val=""/>
      <w:lvlJc w:val="left"/>
      <w:pPr>
        <w:ind w:left="1068" w:hanging="360"/>
      </w:pPr>
      <w:rPr>
        <w:rFonts w:ascii="Arial" w:eastAsiaTheme="minorHAnsi" w:hAnsi="Arial" w:cs="Aria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1">
    <w:nsid w:val="572B4D34"/>
    <w:multiLevelType w:val="hybridMultilevel"/>
    <w:tmpl w:val="17CADE54"/>
    <w:lvl w:ilvl="0" w:tplc="F3AA64FC">
      <w:start w:val="1"/>
      <w:numFmt w:val="bullet"/>
      <w:lvlText w:val=""/>
      <w:lvlJc w:val="left"/>
      <w:pPr>
        <w:tabs>
          <w:tab w:val="num" w:pos="720"/>
        </w:tabs>
        <w:ind w:left="720" w:hanging="360"/>
      </w:pPr>
      <w:rPr>
        <w:rFonts w:ascii="Wingdings" w:hAnsi="Wingdings" w:hint="default"/>
      </w:rPr>
    </w:lvl>
    <w:lvl w:ilvl="1" w:tplc="9252BEB0" w:tentative="1">
      <w:start w:val="1"/>
      <w:numFmt w:val="bullet"/>
      <w:lvlText w:val=""/>
      <w:lvlJc w:val="left"/>
      <w:pPr>
        <w:tabs>
          <w:tab w:val="num" w:pos="1440"/>
        </w:tabs>
        <w:ind w:left="1440" w:hanging="360"/>
      </w:pPr>
      <w:rPr>
        <w:rFonts w:ascii="Wingdings" w:hAnsi="Wingdings" w:hint="default"/>
      </w:rPr>
    </w:lvl>
    <w:lvl w:ilvl="2" w:tplc="1CA2E7C0" w:tentative="1">
      <w:start w:val="1"/>
      <w:numFmt w:val="bullet"/>
      <w:lvlText w:val=""/>
      <w:lvlJc w:val="left"/>
      <w:pPr>
        <w:tabs>
          <w:tab w:val="num" w:pos="2160"/>
        </w:tabs>
        <w:ind w:left="2160" w:hanging="360"/>
      </w:pPr>
      <w:rPr>
        <w:rFonts w:ascii="Wingdings" w:hAnsi="Wingdings" w:hint="default"/>
      </w:rPr>
    </w:lvl>
    <w:lvl w:ilvl="3" w:tplc="7242D4BC" w:tentative="1">
      <w:start w:val="1"/>
      <w:numFmt w:val="bullet"/>
      <w:lvlText w:val=""/>
      <w:lvlJc w:val="left"/>
      <w:pPr>
        <w:tabs>
          <w:tab w:val="num" w:pos="2880"/>
        </w:tabs>
        <w:ind w:left="2880" w:hanging="360"/>
      </w:pPr>
      <w:rPr>
        <w:rFonts w:ascii="Wingdings" w:hAnsi="Wingdings" w:hint="default"/>
      </w:rPr>
    </w:lvl>
    <w:lvl w:ilvl="4" w:tplc="D0E47A5E" w:tentative="1">
      <w:start w:val="1"/>
      <w:numFmt w:val="bullet"/>
      <w:lvlText w:val=""/>
      <w:lvlJc w:val="left"/>
      <w:pPr>
        <w:tabs>
          <w:tab w:val="num" w:pos="3600"/>
        </w:tabs>
        <w:ind w:left="3600" w:hanging="360"/>
      </w:pPr>
      <w:rPr>
        <w:rFonts w:ascii="Wingdings" w:hAnsi="Wingdings" w:hint="default"/>
      </w:rPr>
    </w:lvl>
    <w:lvl w:ilvl="5" w:tplc="DFC292E4" w:tentative="1">
      <w:start w:val="1"/>
      <w:numFmt w:val="bullet"/>
      <w:lvlText w:val=""/>
      <w:lvlJc w:val="left"/>
      <w:pPr>
        <w:tabs>
          <w:tab w:val="num" w:pos="4320"/>
        </w:tabs>
        <w:ind w:left="4320" w:hanging="360"/>
      </w:pPr>
      <w:rPr>
        <w:rFonts w:ascii="Wingdings" w:hAnsi="Wingdings" w:hint="default"/>
      </w:rPr>
    </w:lvl>
    <w:lvl w:ilvl="6" w:tplc="9DC877BA" w:tentative="1">
      <w:start w:val="1"/>
      <w:numFmt w:val="bullet"/>
      <w:lvlText w:val=""/>
      <w:lvlJc w:val="left"/>
      <w:pPr>
        <w:tabs>
          <w:tab w:val="num" w:pos="5040"/>
        </w:tabs>
        <w:ind w:left="5040" w:hanging="360"/>
      </w:pPr>
      <w:rPr>
        <w:rFonts w:ascii="Wingdings" w:hAnsi="Wingdings" w:hint="default"/>
      </w:rPr>
    </w:lvl>
    <w:lvl w:ilvl="7" w:tplc="BDA02CA2" w:tentative="1">
      <w:start w:val="1"/>
      <w:numFmt w:val="bullet"/>
      <w:lvlText w:val=""/>
      <w:lvlJc w:val="left"/>
      <w:pPr>
        <w:tabs>
          <w:tab w:val="num" w:pos="5760"/>
        </w:tabs>
        <w:ind w:left="5760" w:hanging="360"/>
      </w:pPr>
      <w:rPr>
        <w:rFonts w:ascii="Wingdings" w:hAnsi="Wingdings" w:hint="default"/>
      </w:rPr>
    </w:lvl>
    <w:lvl w:ilvl="8" w:tplc="9FC262F2" w:tentative="1">
      <w:start w:val="1"/>
      <w:numFmt w:val="bullet"/>
      <w:lvlText w:val=""/>
      <w:lvlJc w:val="left"/>
      <w:pPr>
        <w:tabs>
          <w:tab w:val="num" w:pos="6480"/>
        </w:tabs>
        <w:ind w:left="6480" w:hanging="360"/>
      </w:pPr>
      <w:rPr>
        <w:rFonts w:ascii="Wingdings" w:hAnsi="Wingdings" w:hint="default"/>
      </w:rPr>
    </w:lvl>
  </w:abstractNum>
  <w:abstractNum w:abstractNumId="12">
    <w:nsid w:val="5FE053D4"/>
    <w:multiLevelType w:val="hybridMultilevel"/>
    <w:tmpl w:val="4A4A6EF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3">
    <w:nsid w:val="66F514DF"/>
    <w:multiLevelType w:val="hybridMultilevel"/>
    <w:tmpl w:val="BF04B1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6D966D22"/>
    <w:multiLevelType w:val="hybridMultilevel"/>
    <w:tmpl w:val="270A35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78551FAE"/>
    <w:multiLevelType w:val="hybridMultilevel"/>
    <w:tmpl w:val="F13A03DE"/>
    <w:lvl w:ilvl="0" w:tplc="4BBE2B1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10"/>
  </w:num>
  <w:num w:numId="3">
    <w:abstractNumId w:val="8"/>
  </w:num>
  <w:num w:numId="4">
    <w:abstractNumId w:val="4"/>
  </w:num>
  <w:num w:numId="5">
    <w:abstractNumId w:val="6"/>
  </w:num>
  <w:num w:numId="6">
    <w:abstractNumId w:val="14"/>
  </w:num>
  <w:num w:numId="7">
    <w:abstractNumId w:val="2"/>
  </w:num>
  <w:num w:numId="8">
    <w:abstractNumId w:val="7"/>
  </w:num>
  <w:num w:numId="9">
    <w:abstractNumId w:val="3"/>
  </w:num>
  <w:num w:numId="10">
    <w:abstractNumId w:val="9"/>
  </w:num>
  <w:num w:numId="11">
    <w:abstractNumId w:val="0"/>
  </w:num>
  <w:num w:numId="12">
    <w:abstractNumId w:val="13"/>
  </w:num>
  <w:num w:numId="13">
    <w:abstractNumId w:val="15"/>
  </w:num>
  <w:num w:numId="14">
    <w:abstractNumId w:val="12"/>
  </w:num>
  <w:num w:numId="15">
    <w:abstractNumId w:val="5"/>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5193"/>
    <w:rsid w:val="000A6D1E"/>
    <w:rsid w:val="001104A3"/>
    <w:rsid w:val="00171BEE"/>
    <w:rsid w:val="00180378"/>
    <w:rsid w:val="00185D8A"/>
    <w:rsid w:val="001A3094"/>
    <w:rsid w:val="00214F62"/>
    <w:rsid w:val="00225C94"/>
    <w:rsid w:val="00236EEE"/>
    <w:rsid w:val="002535A5"/>
    <w:rsid w:val="00265C84"/>
    <w:rsid w:val="00297ED3"/>
    <w:rsid w:val="002C4A74"/>
    <w:rsid w:val="002C7E7E"/>
    <w:rsid w:val="002D62D8"/>
    <w:rsid w:val="002E773B"/>
    <w:rsid w:val="00344AE8"/>
    <w:rsid w:val="003505D1"/>
    <w:rsid w:val="00375DEF"/>
    <w:rsid w:val="003A150A"/>
    <w:rsid w:val="003B61A5"/>
    <w:rsid w:val="00443131"/>
    <w:rsid w:val="00466FD2"/>
    <w:rsid w:val="00477F1D"/>
    <w:rsid w:val="004A26D1"/>
    <w:rsid w:val="004F3C13"/>
    <w:rsid w:val="005408F5"/>
    <w:rsid w:val="006932EC"/>
    <w:rsid w:val="00697A2E"/>
    <w:rsid w:val="006A0F5D"/>
    <w:rsid w:val="006D4FE0"/>
    <w:rsid w:val="00714AC8"/>
    <w:rsid w:val="007511BB"/>
    <w:rsid w:val="007D161C"/>
    <w:rsid w:val="007F125C"/>
    <w:rsid w:val="008269EC"/>
    <w:rsid w:val="00852F42"/>
    <w:rsid w:val="008927EA"/>
    <w:rsid w:val="008A736E"/>
    <w:rsid w:val="00903A04"/>
    <w:rsid w:val="009964CE"/>
    <w:rsid w:val="00A5503C"/>
    <w:rsid w:val="00A86A55"/>
    <w:rsid w:val="00AE5B71"/>
    <w:rsid w:val="00B05946"/>
    <w:rsid w:val="00B431B6"/>
    <w:rsid w:val="00B61C2E"/>
    <w:rsid w:val="00B7503E"/>
    <w:rsid w:val="00B835AF"/>
    <w:rsid w:val="00BF6B4C"/>
    <w:rsid w:val="00C27428"/>
    <w:rsid w:val="00C42D4B"/>
    <w:rsid w:val="00C515FF"/>
    <w:rsid w:val="00C75CB2"/>
    <w:rsid w:val="00CA19C9"/>
    <w:rsid w:val="00CD41DF"/>
    <w:rsid w:val="00D169CC"/>
    <w:rsid w:val="00D16AF3"/>
    <w:rsid w:val="00D2297A"/>
    <w:rsid w:val="00D830B3"/>
    <w:rsid w:val="00D86AB0"/>
    <w:rsid w:val="00DA7248"/>
    <w:rsid w:val="00E11968"/>
    <w:rsid w:val="00E35F34"/>
    <w:rsid w:val="00EF6B0C"/>
    <w:rsid w:val="00F60117"/>
    <w:rsid w:val="00F67622"/>
    <w:rsid w:val="00F778DF"/>
    <w:rsid w:val="00F77EE6"/>
    <w:rsid w:val="00FC2A86"/>
    <w:rsid w:val="00FE4A22"/>
    <w:rsid w:val="00FF519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E85D4886-BBE4-4CBE-A43E-C1EF49F0D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FF5193"/>
    <w:pPr>
      <w:autoSpaceDE w:val="0"/>
      <w:autoSpaceDN w:val="0"/>
      <w:adjustRightInd w:val="0"/>
      <w:spacing w:after="0" w:line="240" w:lineRule="auto"/>
    </w:pPr>
    <w:rPr>
      <w:rFonts w:ascii="Arial" w:hAnsi="Arial" w:cs="Arial"/>
      <w:color w:val="000000"/>
      <w:sz w:val="24"/>
      <w:szCs w:val="24"/>
    </w:rPr>
  </w:style>
  <w:style w:type="paragraph" w:styleId="Textonotaalfinal">
    <w:name w:val="endnote text"/>
    <w:basedOn w:val="Normal"/>
    <w:link w:val="TextonotaalfinalCar"/>
    <w:uiPriority w:val="99"/>
    <w:semiHidden/>
    <w:unhideWhenUsed/>
    <w:rsid w:val="004A26D1"/>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4A26D1"/>
    <w:rPr>
      <w:sz w:val="20"/>
      <w:szCs w:val="20"/>
    </w:rPr>
  </w:style>
  <w:style w:type="character" w:styleId="Refdenotaalfinal">
    <w:name w:val="endnote reference"/>
    <w:basedOn w:val="Fuentedeprrafopredeter"/>
    <w:uiPriority w:val="99"/>
    <w:semiHidden/>
    <w:unhideWhenUsed/>
    <w:rsid w:val="004A26D1"/>
    <w:rPr>
      <w:vertAlign w:val="superscript"/>
    </w:rPr>
  </w:style>
  <w:style w:type="paragraph" w:styleId="Textonotapie">
    <w:name w:val="footnote text"/>
    <w:basedOn w:val="Normal"/>
    <w:link w:val="TextonotapieCar"/>
    <w:uiPriority w:val="99"/>
    <w:semiHidden/>
    <w:unhideWhenUsed/>
    <w:rsid w:val="004A26D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A26D1"/>
    <w:rPr>
      <w:sz w:val="20"/>
      <w:szCs w:val="20"/>
    </w:rPr>
  </w:style>
  <w:style w:type="character" w:styleId="Refdenotaalpie">
    <w:name w:val="footnote reference"/>
    <w:basedOn w:val="Fuentedeprrafopredeter"/>
    <w:uiPriority w:val="99"/>
    <w:semiHidden/>
    <w:unhideWhenUsed/>
    <w:rsid w:val="004A26D1"/>
    <w:rPr>
      <w:vertAlign w:val="superscript"/>
    </w:rPr>
  </w:style>
  <w:style w:type="paragraph" w:styleId="Encabezado">
    <w:name w:val="header"/>
    <w:basedOn w:val="Normal"/>
    <w:link w:val="EncabezadoCar"/>
    <w:uiPriority w:val="99"/>
    <w:unhideWhenUsed/>
    <w:rsid w:val="00D16AF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16AF3"/>
  </w:style>
  <w:style w:type="paragraph" w:styleId="Piedepgina">
    <w:name w:val="footer"/>
    <w:basedOn w:val="Normal"/>
    <w:link w:val="PiedepginaCar"/>
    <w:uiPriority w:val="99"/>
    <w:unhideWhenUsed/>
    <w:rsid w:val="00D16AF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16AF3"/>
  </w:style>
  <w:style w:type="character" w:customStyle="1" w:styleId="A7">
    <w:name w:val="A7"/>
    <w:uiPriority w:val="99"/>
    <w:rsid w:val="00D169CC"/>
    <w:rPr>
      <w:b/>
      <w:bCs/>
      <w:color w:val="211D1E"/>
    </w:rPr>
  </w:style>
  <w:style w:type="character" w:customStyle="1" w:styleId="A3">
    <w:name w:val="A3"/>
    <w:uiPriority w:val="99"/>
    <w:rsid w:val="00D86AB0"/>
    <w:rPr>
      <w:color w:val="211D1E"/>
      <w:sz w:val="20"/>
      <w:szCs w:val="20"/>
    </w:rPr>
  </w:style>
  <w:style w:type="paragraph" w:customStyle="1" w:styleId="Pa3">
    <w:name w:val="Pa3"/>
    <w:basedOn w:val="Default"/>
    <w:next w:val="Default"/>
    <w:uiPriority w:val="99"/>
    <w:rsid w:val="002535A5"/>
    <w:pPr>
      <w:spacing w:line="241" w:lineRule="atLeast"/>
    </w:pPr>
    <w:rPr>
      <w:color w:val="auto"/>
      <w:lang w:val="es-MX"/>
    </w:rPr>
  </w:style>
  <w:style w:type="paragraph" w:customStyle="1" w:styleId="Pa15">
    <w:name w:val="Pa15"/>
    <w:basedOn w:val="Default"/>
    <w:next w:val="Default"/>
    <w:uiPriority w:val="99"/>
    <w:rsid w:val="002535A5"/>
    <w:pPr>
      <w:spacing w:line="241" w:lineRule="atLeast"/>
    </w:pPr>
    <w:rPr>
      <w:color w:val="auto"/>
      <w:lang w:val="es-MX"/>
    </w:rPr>
  </w:style>
  <w:style w:type="paragraph" w:styleId="Prrafodelista">
    <w:name w:val="List Paragraph"/>
    <w:basedOn w:val="Normal"/>
    <w:uiPriority w:val="34"/>
    <w:qFormat/>
    <w:rsid w:val="002535A5"/>
    <w:pPr>
      <w:ind w:left="720"/>
      <w:contextualSpacing/>
    </w:pPr>
  </w:style>
  <w:style w:type="paragraph" w:customStyle="1" w:styleId="Pa0">
    <w:name w:val="Pa0"/>
    <w:basedOn w:val="Default"/>
    <w:next w:val="Default"/>
    <w:uiPriority w:val="99"/>
    <w:rsid w:val="00BF6B4C"/>
    <w:pPr>
      <w:spacing w:line="241" w:lineRule="atLeast"/>
    </w:pPr>
    <w:rPr>
      <w:color w:val="auto"/>
      <w:lang w:val="es-MX"/>
    </w:rPr>
  </w:style>
  <w:style w:type="paragraph" w:customStyle="1" w:styleId="Pa1">
    <w:name w:val="Pa1"/>
    <w:basedOn w:val="Default"/>
    <w:next w:val="Default"/>
    <w:uiPriority w:val="99"/>
    <w:rsid w:val="00BF6B4C"/>
    <w:pPr>
      <w:spacing w:line="241" w:lineRule="atLeast"/>
    </w:pPr>
    <w:rPr>
      <w:color w:val="auto"/>
      <w:lang w:val="es-MX"/>
    </w:rPr>
  </w:style>
  <w:style w:type="paragraph" w:customStyle="1" w:styleId="Texto">
    <w:name w:val="Texto"/>
    <w:basedOn w:val="Normal"/>
    <w:link w:val="TextoCar"/>
    <w:rsid w:val="00B05946"/>
    <w:pPr>
      <w:spacing w:after="101" w:line="216" w:lineRule="exact"/>
      <w:ind w:firstLine="288"/>
      <w:jc w:val="both"/>
    </w:pPr>
    <w:rPr>
      <w:rFonts w:ascii="Arial" w:eastAsia="Times New Roman" w:hAnsi="Arial" w:cs="Times New Roman"/>
      <w:sz w:val="18"/>
      <w:szCs w:val="18"/>
      <w:lang w:val="es-MX" w:eastAsia="es-MX"/>
    </w:rPr>
  </w:style>
  <w:style w:type="character" w:customStyle="1" w:styleId="TextoCar">
    <w:name w:val="Texto Car"/>
    <w:link w:val="Texto"/>
    <w:locked/>
    <w:rsid w:val="00B05946"/>
    <w:rPr>
      <w:rFonts w:ascii="Arial" w:eastAsia="Times New Roman" w:hAnsi="Arial" w:cs="Times New Roman"/>
      <w:sz w:val="18"/>
      <w:szCs w:val="18"/>
      <w:lang w:val="es-MX" w:eastAsia="es-MX"/>
    </w:rPr>
  </w:style>
  <w:style w:type="character" w:styleId="Hipervnculo">
    <w:name w:val="Hyperlink"/>
    <w:basedOn w:val="Fuentedeprrafopredeter"/>
    <w:uiPriority w:val="99"/>
    <w:semiHidden/>
    <w:unhideWhenUsed/>
    <w:rsid w:val="008A736E"/>
    <w:rPr>
      <w:color w:val="0000FF"/>
      <w:u w:val="single"/>
    </w:rPr>
  </w:style>
  <w:style w:type="table" w:styleId="Tablanormal1">
    <w:name w:val="Plain Table 1"/>
    <w:basedOn w:val="Tablanormal"/>
    <w:uiPriority w:val="41"/>
    <w:rsid w:val="002D62D8"/>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51447">
      <w:bodyDiv w:val="1"/>
      <w:marLeft w:val="0"/>
      <w:marRight w:val="0"/>
      <w:marTop w:val="0"/>
      <w:marBottom w:val="0"/>
      <w:divBdr>
        <w:top w:val="none" w:sz="0" w:space="0" w:color="auto"/>
        <w:left w:val="none" w:sz="0" w:space="0" w:color="auto"/>
        <w:bottom w:val="none" w:sz="0" w:space="0" w:color="auto"/>
        <w:right w:val="none" w:sz="0" w:space="0" w:color="auto"/>
      </w:divBdr>
    </w:div>
    <w:div w:id="13578803">
      <w:bodyDiv w:val="1"/>
      <w:marLeft w:val="0"/>
      <w:marRight w:val="0"/>
      <w:marTop w:val="0"/>
      <w:marBottom w:val="0"/>
      <w:divBdr>
        <w:top w:val="none" w:sz="0" w:space="0" w:color="auto"/>
        <w:left w:val="none" w:sz="0" w:space="0" w:color="auto"/>
        <w:bottom w:val="none" w:sz="0" w:space="0" w:color="auto"/>
        <w:right w:val="none" w:sz="0" w:space="0" w:color="auto"/>
      </w:divBdr>
    </w:div>
    <w:div w:id="255293021">
      <w:bodyDiv w:val="1"/>
      <w:marLeft w:val="0"/>
      <w:marRight w:val="0"/>
      <w:marTop w:val="0"/>
      <w:marBottom w:val="0"/>
      <w:divBdr>
        <w:top w:val="none" w:sz="0" w:space="0" w:color="auto"/>
        <w:left w:val="none" w:sz="0" w:space="0" w:color="auto"/>
        <w:bottom w:val="none" w:sz="0" w:space="0" w:color="auto"/>
        <w:right w:val="none" w:sz="0" w:space="0" w:color="auto"/>
      </w:divBdr>
    </w:div>
    <w:div w:id="344983054">
      <w:bodyDiv w:val="1"/>
      <w:marLeft w:val="0"/>
      <w:marRight w:val="0"/>
      <w:marTop w:val="0"/>
      <w:marBottom w:val="0"/>
      <w:divBdr>
        <w:top w:val="none" w:sz="0" w:space="0" w:color="auto"/>
        <w:left w:val="none" w:sz="0" w:space="0" w:color="auto"/>
        <w:bottom w:val="none" w:sz="0" w:space="0" w:color="auto"/>
        <w:right w:val="none" w:sz="0" w:space="0" w:color="auto"/>
      </w:divBdr>
      <w:divsChild>
        <w:div w:id="1771506356">
          <w:marLeft w:val="547"/>
          <w:marRight w:val="0"/>
          <w:marTop w:val="0"/>
          <w:marBottom w:val="0"/>
          <w:divBdr>
            <w:top w:val="none" w:sz="0" w:space="0" w:color="auto"/>
            <w:left w:val="none" w:sz="0" w:space="0" w:color="auto"/>
            <w:bottom w:val="none" w:sz="0" w:space="0" w:color="auto"/>
            <w:right w:val="none" w:sz="0" w:space="0" w:color="auto"/>
          </w:divBdr>
        </w:div>
      </w:divsChild>
    </w:div>
    <w:div w:id="442850785">
      <w:bodyDiv w:val="1"/>
      <w:marLeft w:val="0"/>
      <w:marRight w:val="0"/>
      <w:marTop w:val="0"/>
      <w:marBottom w:val="0"/>
      <w:divBdr>
        <w:top w:val="none" w:sz="0" w:space="0" w:color="auto"/>
        <w:left w:val="none" w:sz="0" w:space="0" w:color="auto"/>
        <w:bottom w:val="none" w:sz="0" w:space="0" w:color="auto"/>
        <w:right w:val="none" w:sz="0" w:space="0" w:color="auto"/>
      </w:divBdr>
      <w:divsChild>
        <w:div w:id="1807313374">
          <w:marLeft w:val="0"/>
          <w:marRight w:val="0"/>
          <w:marTop w:val="0"/>
          <w:marBottom w:val="0"/>
          <w:divBdr>
            <w:top w:val="none" w:sz="0" w:space="0" w:color="auto"/>
            <w:left w:val="none" w:sz="0" w:space="0" w:color="auto"/>
            <w:bottom w:val="none" w:sz="0" w:space="0" w:color="auto"/>
            <w:right w:val="none" w:sz="0" w:space="0" w:color="auto"/>
          </w:divBdr>
        </w:div>
        <w:div w:id="600989537">
          <w:marLeft w:val="0"/>
          <w:marRight w:val="0"/>
          <w:marTop w:val="0"/>
          <w:marBottom w:val="0"/>
          <w:divBdr>
            <w:top w:val="none" w:sz="0" w:space="0" w:color="auto"/>
            <w:left w:val="none" w:sz="0" w:space="0" w:color="auto"/>
            <w:bottom w:val="none" w:sz="0" w:space="0" w:color="auto"/>
            <w:right w:val="none" w:sz="0" w:space="0" w:color="auto"/>
          </w:divBdr>
        </w:div>
        <w:div w:id="602298902">
          <w:marLeft w:val="0"/>
          <w:marRight w:val="0"/>
          <w:marTop w:val="0"/>
          <w:marBottom w:val="0"/>
          <w:divBdr>
            <w:top w:val="none" w:sz="0" w:space="0" w:color="auto"/>
            <w:left w:val="none" w:sz="0" w:space="0" w:color="auto"/>
            <w:bottom w:val="none" w:sz="0" w:space="0" w:color="auto"/>
            <w:right w:val="none" w:sz="0" w:space="0" w:color="auto"/>
          </w:divBdr>
        </w:div>
      </w:divsChild>
    </w:div>
    <w:div w:id="605425203">
      <w:bodyDiv w:val="1"/>
      <w:marLeft w:val="0"/>
      <w:marRight w:val="0"/>
      <w:marTop w:val="0"/>
      <w:marBottom w:val="0"/>
      <w:divBdr>
        <w:top w:val="none" w:sz="0" w:space="0" w:color="auto"/>
        <w:left w:val="none" w:sz="0" w:space="0" w:color="auto"/>
        <w:bottom w:val="none" w:sz="0" w:space="0" w:color="auto"/>
        <w:right w:val="none" w:sz="0" w:space="0" w:color="auto"/>
      </w:divBdr>
    </w:div>
    <w:div w:id="877593186">
      <w:bodyDiv w:val="1"/>
      <w:marLeft w:val="0"/>
      <w:marRight w:val="0"/>
      <w:marTop w:val="0"/>
      <w:marBottom w:val="0"/>
      <w:divBdr>
        <w:top w:val="none" w:sz="0" w:space="0" w:color="auto"/>
        <w:left w:val="none" w:sz="0" w:space="0" w:color="auto"/>
        <w:bottom w:val="none" w:sz="0" w:space="0" w:color="auto"/>
        <w:right w:val="none" w:sz="0" w:space="0" w:color="auto"/>
      </w:divBdr>
    </w:div>
    <w:div w:id="939534779">
      <w:bodyDiv w:val="1"/>
      <w:marLeft w:val="0"/>
      <w:marRight w:val="0"/>
      <w:marTop w:val="0"/>
      <w:marBottom w:val="0"/>
      <w:divBdr>
        <w:top w:val="none" w:sz="0" w:space="0" w:color="auto"/>
        <w:left w:val="none" w:sz="0" w:space="0" w:color="auto"/>
        <w:bottom w:val="none" w:sz="0" w:space="0" w:color="auto"/>
        <w:right w:val="none" w:sz="0" w:space="0" w:color="auto"/>
      </w:divBdr>
    </w:div>
    <w:div w:id="976422445">
      <w:bodyDiv w:val="1"/>
      <w:marLeft w:val="0"/>
      <w:marRight w:val="0"/>
      <w:marTop w:val="0"/>
      <w:marBottom w:val="0"/>
      <w:divBdr>
        <w:top w:val="none" w:sz="0" w:space="0" w:color="auto"/>
        <w:left w:val="none" w:sz="0" w:space="0" w:color="auto"/>
        <w:bottom w:val="none" w:sz="0" w:space="0" w:color="auto"/>
        <w:right w:val="none" w:sz="0" w:space="0" w:color="auto"/>
      </w:divBdr>
    </w:div>
    <w:div w:id="1024290377">
      <w:bodyDiv w:val="1"/>
      <w:marLeft w:val="0"/>
      <w:marRight w:val="0"/>
      <w:marTop w:val="0"/>
      <w:marBottom w:val="0"/>
      <w:divBdr>
        <w:top w:val="none" w:sz="0" w:space="0" w:color="auto"/>
        <w:left w:val="none" w:sz="0" w:space="0" w:color="auto"/>
        <w:bottom w:val="none" w:sz="0" w:space="0" w:color="auto"/>
        <w:right w:val="none" w:sz="0" w:space="0" w:color="auto"/>
      </w:divBdr>
      <w:divsChild>
        <w:div w:id="1365642268">
          <w:marLeft w:val="0"/>
          <w:marRight w:val="0"/>
          <w:marTop w:val="0"/>
          <w:marBottom w:val="0"/>
          <w:divBdr>
            <w:top w:val="none" w:sz="0" w:space="0" w:color="auto"/>
            <w:left w:val="none" w:sz="0" w:space="0" w:color="auto"/>
            <w:bottom w:val="none" w:sz="0" w:space="0" w:color="auto"/>
            <w:right w:val="none" w:sz="0" w:space="0" w:color="auto"/>
          </w:divBdr>
        </w:div>
        <w:div w:id="145518987">
          <w:marLeft w:val="0"/>
          <w:marRight w:val="0"/>
          <w:marTop w:val="0"/>
          <w:marBottom w:val="0"/>
          <w:divBdr>
            <w:top w:val="none" w:sz="0" w:space="0" w:color="auto"/>
            <w:left w:val="none" w:sz="0" w:space="0" w:color="auto"/>
            <w:bottom w:val="none" w:sz="0" w:space="0" w:color="auto"/>
            <w:right w:val="none" w:sz="0" w:space="0" w:color="auto"/>
          </w:divBdr>
        </w:div>
        <w:div w:id="445196235">
          <w:marLeft w:val="0"/>
          <w:marRight w:val="0"/>
          <w:marTop w:val="0"/>
          <w:marBottom w:val="0"/>
          <w:divBdr>
            <w:top w:val="none" w:sz="0" w:space="0" w:color="auto"/>
            <w:left w:val="none" w:sz="0" w:space="0" w:color="auto"/>
            <w:bottom w:val="none" w:sz="0" w:space="0" w:color="auto"/>
            <w:right w:val="none" w:sz="0" w:space="0" w:color="auto"/>
          </w:divBdr>
        </w:div>
      </w:divsChild>
    </w:div>
    <w:div w:id="1293635459">
      <w:bodyDiv w:val="1"/>
      <w:marLeft w:val="0"/>
      <w:marRight w:val="0"/>
      <w:marTop w:val="0"/>
      <w:marBottom w:val="0"/>
      <w:divBdr>
        <w:top w:val="none" w:sz="0" w:space="0" w:color="auto"/>
        <w:left w:val="none" w:sz="0" w:space="0" w:color="auto"/>
        <w:bottom w:val="none" w:sz="0" w:space="0" w:color="auto"/>
        <w:right w:val="none" w:sz="0" w:space="0" w:color="auto"/>
      </w:divBdr>
      <w:divsChild>
        <w:div w:id="1458600946">
          <w:marLeft w:val="0"/>
          <w:marRight w:val="0"/>
          <w:marTop w:val="0"/>
          <w:marBottom w:val="0"/>
          <w:divBdr>
            <w:top w:val="none" w:sz="0" w:space="0" w:color="auto"/>
            <w:left w:val="none" w:sz="0" w:space="0" w:color="auto"/>
            <w:bottom w:val="none" w:sz="0" w:space="0" w:color="auto"/>
            <w:right w:val="none" w:sz="0" w:space="0" w:color="auto"/>
          </w:divBdr>
        </w:div>
        <w:div w:id="755400156">
          <w:marLeft w:val="0"/>
          <w:marRight w:val="0"/>
          <w:marTop w:val="0"/>
          <w:marBottom w:val="0"/>
          <w:divBdr>
            <w:top w:val="none" w:sz="0" w:space="0" w:color="auto"/>
            <w:left w:val="none" w:sz="0" w:space="0" w:color="auto"/>
            <w:bottom w:val="none" w:sz="0" w:space="0" w:color="auto"/>
            <w:right w:val="none" w:sz="0" w:space="0" w:color="auto"/>
          </w:divBdr>
        </w:div>
        <w:div w:id="332337242">
          <w:marLeft w:val="0"/>
          <w:marRight w:val="0"/>
          <w:marTop w:val="0"/>
          <w:marBottom w:val="0"/>
          <w:divBdr>
            <w:top w:val="none" w:sz="0" w:space="0" w:color="auto"/>
            <w:left w:val="none" w:sz="0" w:space="0" w:color="auto"/>
            <w:bottom w:val="none" w:sz="0" w:space="0" w:color="auto"/>
            <w:right w:val="none" w:sz="0" w:space="0" w:color="auto"/>
          </w:divBdr>
        </w:div>
      </w:divsChild>
    </w:div>
    <w:div w:id="2041011862">
      <w:bodyDiv w:val="1"/>
      <w:marLeft w:val="0"/>
      <w:marRight w:val="0"/>
      <w:marTop w:val="0"/>
      <w:marBottom w:val="0"/>
      <w:divBdr>
        <w:top w:val="none" w:sz="0" w:space="0" w:color="auto"/>
        <w:left w:val="none" w:sz="0" w:space="0" w:color="auto"/>
        <w:bottom w:val="none" w:sz="0" w:space="0" w:color="auto"/>
        <w:right w:val="none" w:sz="0" w:space="0" w:color="auto"/>
      </w:divBdr>
      <w:divsChild>
        <w:div w:id="1355616906">
          <w:marLeft w:val="0"/>
          <w:marRight w:val="0"/>
          <w:marTop w:val="0"/>
          <w:marBottom w:val="0"/>
          <w:divBdr>
            <w:top w:val="none" w:sz="0" w:space="0" w:color="auto"/>
            <w:left w:val="none" w:sz="0" w:space="0" w:color="auto"/>
            <w:bottom w:val="none" w:sz="0" w:space="0" w:color="auto"/>
            <w:right w:val="none" w:sz="0" w:space="0" w:color="auto"/>
          </w:divBdr>
        </w:div>
        <w:div w:id="1022707120">
          <w:marLeft w:val="0"/>
          <w:marRight w:val="0"/>
          <w:marTop w:val="0"/>
          <w:marBottom w:val="0"/>
          <w:divBdr>
            <w:top w:val="none" w:sz="0" w:space="0" w:color="auto"/>
            <w:left w:val="none" w:sz="0" w:space="0" w:color="auto"/>
            <w:bottom w:val="none" w:sz="0" w:space="0" w:color="auto"/>
            <w:right w:val="none" w:sz="0" w:space="0" w:color="auto"/>
          </w:divBdr>
        </w:div>
        <w:div w:id="116291829">
          <w:marLeft w:val="0"/>
          <w:marRight w:val="0"/>
          <w:marTop w:val="0"/>
          <w:marBottom w:val="0"/>
          <w:divBdr>
            <w:top w:val="none" w:sz="0" w:space="0" w:color="auto"/>
            <w:left w:val="none" w:sz="0" w:space="0" w:color="auto"/>
            <w:bottom w:val="none" w:sz="0" w:space="0" w:color="auto"/>
            <w:right w:val="none" w:sz="0" w:space="0" w:color="auto"/>
          </w:divBdr>
        </w:div>
      </w:divsChild>
    </w:div>
    <w:div w:id="2072804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QuickStyle" Target="diagrams/quickStyle1.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package" Target="embeddings/Hoja_de_c_lculo_de_Microsoft_Excel1.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5" Type="http://schemas.openxmlformats.org/officeDocument/2006/relationships/webSettings" Target="webSettings.xml"/><Relationship Id="rId15" Type="http://schemas.microsoft.com/office/2007/relationships/diagramDrawing" Target="diagrams/drawing1.xml"/><Relationship Id="rId10" Type="http://schemas.openxmlformats.org/officeDocument/2006/relationships/image" Target="media/image2.jpeg"/><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yperlink" Target="http://www.seplan.gob.mx/ds/PED/Gobernabilidad/Programa%20de%20Modernizacion%20de%20la%20Administracion%20Publica%20Estatal.pdf" TargetMode="External"/><Relationship Id="rId14" Type="http://schemas.openxmlformats.org/officeDocument/2006/relationships/diagramColors" Target="diagrams/colors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CA6756A-F8B7-47F0-9140-2E49C853E31F}"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es-MX"/>
        </a:p>
      </dgm:t>
    </dgm:pt>
    <dgm:pt modelId="{D33806AC-18FC-4142-8D63-DD9B877080BA}">
      <dgm:prSet phldrT="[Texto]" custT="1"/>
      <dgm:spPr/>
      <dgm:t>
        <a:bodyPr/>
        <a:lstStyle/>
        <a:p>
          <a:pPr algn="ctr"/>
          <a:r>
            <a:rPr lang="es-MX" sz="1050"/>
            <a:t>Programa Anual de Evaluación (PAE)</a:t>
          </a:r>
        </a:p>
      </dgm:t>
    </dgm:pt>
    <dgm:pt modelId="{93F8B5A4-2530-4B59-80F3-557F3D88843D}" type="parTrans" cxnId="{22EB74DA-5B8A-4B96-9D67-840FD26EC230}">
      <dgm:prSet/>
      <dgm:spPr/>
      <dgm:t>
        <a:bodyPr/>
        <a:lstStyle/>
        <a:p>
          <a:pPr algn="ctr"/>
          <a:endParaRPr lang="es-MX"/>
        </a:p>
      </dgm:t>
    </dgm:pt>
    <dgm:pt modelId="{73DB8779-27C4-44E4-93F8-45D9B98F9B8B}" type="sibTrans" cxnId="{22EB74DA-5B8A-4B96-9D67-840FD26EC230}">
      <dgm:prSet/>
      <dgm:spPr/>
      <dgm:t>
        <a:bodyPr/>
        <a:lstStyle/>
        <a:p>
          <a:pPr algn="ctr"/>
          <a:endParaRPr lang="es-MX"/>
        </a:p>
      </dgm:t>
    </dgm:pt>
    <dgm:pt modelId="{C0CD95AA-4E2D-48B2-89A5-B24DAD59C839}">
      <dgm:prSet phldrT="[Texto]" custT="1"/>
      <dgm:spPr/>
      <dgm:t>
        <a:bodyPr/>
        <a:lstStyle/>
        <a:p>
          <a:pPr algn="ctr"/>
          <a:r>
            <a:rPr lang="es-MX" sz="1050"/>
            <a:t>Términos de referencia de Evaluaciones</a:t>
          </a:r>
        </a:p>
      </dgm:t>
    </dgm:pt>
    <dgm:pt modelId="{EFCC2B0E-8672-4C3E-9035-B05911C1750B}" type="parTrans" cxnId="{F9BC28AF-AD23-48C4-A5C5-158259B4F4FF}">
      <dgm:prSet/>
      <dgm:spPr/>
      <dgm:t>
        <a:bodyPr/>
        <a:lstStyle/>
        <a:p>
          <a:pPr algn="ctr"/>
          <a:endParaRPr lang="es-MX"/>
        </a:p>
      </dgm:t>
    </dgm:pt>
    <dgm:pt modelId="{E133102E-87D6-44BB-AAAA-40F7AFA8E34C}" type="sibTrans" cxnId="{F9BC28AF-AD23-48C4-A5C5-158259B4F4FF}">
      <dgm:prSet/>
      <dgm:spPr/>
      <dgm:t>
        <a:bodyPr/>
        <a:lstStyle/>
        <a:p>
          <a:pPr algn="ctr"/>
          <a:endParaRPr lang="es-MX"/>
        </a:p>
      </dgm:t>
    </dgm:pt>
    <dgm:pt modelId="{3716F456-AE7E-46F6-84EB-ECF78CE04F74}">
      <dgm:prSet phldrT="[Texto]" custT="1"/>
      <dgm:spPr/>
      <dgm:t>
        <a:bodyPr/>
        <a:lstStyle/>
        <a:p>
          <a:pPr algn="ctr"/>
          <a:r>
            <a:rPr lang="es-MX" sz="1050"/>
            <a:t>Reporte de resultados de las Evaluaciones</a:t>
          </a:r>
        </a:p>
      </dgm:t>
    </dgm:pt>
    <dgm:pt modelId="{6F5AC0A6-0BB6-4167-B1D9-24696C548FE8}" type="parTrans" cxnId="{059E3621-0805-4D6A-BE7D-BF4A6274B5ED}">
      <dgm:prSet/>
      <dgm:spPr/>
      <dgm:t>
        <a:bodyPr/>
        <a:lstStyle/>
        <a:p>
          <a:pPr algn="ctr"/>
          <a:endParaRPr lang="es-MX"/>
        </a:p>
      </dgm:t>
    </dgm:pt>
    <dgm:pt modelId="{079B183B-F057-4BB3-A44D-8BB0E7A35117}" type="sibTrans" cxnId="{059E3621-0805-4D6A-BE7D-BF4A6274B5ED}">
      <dgm:prSet/>
      <dgm:spPr/>
      <dgm:t>
        <a:bodyPr/>
        <a:lstStyle/>
        <a:p>
          <a:pPr algn="ctr"/>
          <a:endParaRPr lang="es-MX"/>
        </a:p>
      </dgm:t>
    </dgm:pt>
    <dgm:pt modelId="{BCA7CD34-0A81-4A1C-A33A-A6D6CD12AFD0}">
      <dgm:prSet phldrT="[Texto]" custT="1"/>
      <dgm:spPr/>
      <dgm:t>
        <a:bodyPr/>
        <a:lstStyle/>
        <a:p>
          <a:pPr algn="ctr"/>
          <a:r>
            <a:rPr lang="es-MX" sz="1050"/>
            <a:t>Transparencia y Rendición de cuentas</a:t>
          </a:r>
        </a:p>
      </dgm:t>
    </dgm:pt>
    <dgm:pt modelId="{2581E78F-D898-4AC5-ADFA-EA6F2D988385}" type="parTrans" cxnId="{329670D8-56A4-4569-B366-9BD1D739F87B}">
      <dgm:prSet/>
      <dgm:spPr/>
      <dgm:t>
        <a:bodyPr/>
        <a:lstStyle/>
        <a:p>
          <a:pPr algn="ctr"/>
          <a:endParaRPr lang="es-MX"/>
        </a:p>
      </dgm:t>
    </dgm:pt>
    <dgm:pt modelId="{4E5B85A6-EAEE-4135-A0D9-46F42FC29125}" type="sibTrans" cxnId="{329670D8-56A4-4569-B366-9BD1D739F87B}">
      <dgm:prSet/>
      <dgm:spPr/>
      <dgm:t>
        <a:bodyPr/>
        <a:lstStyle/>
        <a:p>
          <a:pPr algn="ctr"/>
          <a:endParaRPr lang="es-MX"/>
        </a:p>
      </dgm:t>
    </dgm:pt>
    <dgm:pt modelId="{6ED5C920-89E4-4488-AE34-01D20E291F34}">
      <dgm:prSet phldrT="[Texto]" custT="1"/>
      <dgm:spPr/>
      <dgm:t>
        <a:bodyPr/>
        <a:lstStyle/>
        <a:p>
          <a:pPr algn="ctr"/>
          <a:r>
            <a:rPr lang="es-MX" sz="1050"/>
            <a:t>Seguimiento a Aspectos Suceptible de Mejora</a:t>
          </a:r>
        </a:p>
      </dgm:t>
    </dgm:pt>
    <dgm:pt modelId="{C3411B63-E908-46CA-B777-F4873AAB2696}" type="parTrans" cxnId="{F6883BB0-E252-4D93-ACC2-9443AEA2AD14}">
      <dgm:prSet/>
      <dgm:spPr/>
      <dgm:t>
        <a:bodyPr/>
        <a:lstStyle/>
        <a:p>
          <a:pPr algn="ctr"/>
          <a:endParaRPr lang="es-MX"/>
        </a:p>
      </dgm:t>
    </dgm:pt>
    <dgm:pt modelId="{5FD8C9ED-4BC3-44FA-9A8A-CFC1EF65FEE8}" type="sibTrans" cxnId="{F6883BB0-E252-4D93-ACC2-9443AEA2AD14}">
      <dgm:prSet/>
      <dgm:spPr/>
      <dgm:t>
        <a:bodyPr/>
        <a:lstStyle/>
        <a:p>
          <a:pPr algn="ctr"/>
          <a:endParaRPr lang="es-MX"/>
        </a:p>
      </dgm:t>
    </dgm:pt>
    <dgm:pt modelId="{97B7891A-2A66-4ABB-9E6F-9C9C366FBAF0}" type="pres">
      <dgm:prSet presAssocID="{9CA6756A-F8B7-47F0-9140-2E49C853E31F}" presName="Name0" presStyleCnt="0">
        <dgm:presLayoutVars>
          <dgm:dir/>
          <dgm:resizeHandles val="exact"/>
        </dgm:presLayoutVars>
      </dgm:prSet>
      <dgm:spPr/>
      <dgm:t>
        <a:bodyPr/>
        <a:lstStyle/>
        <a:p>
          <a:endParaRPr lang="es-MX"/>
        </a:p>
      </dgm:t>
    </dgm:pt>
    <dgm:pt modelId="{82B6E663-85A4-4203-B043-0D906B620C42}" type="pres">
      <dgm:prSet presAssocID="{9CA6756A-F8B7-47F0-9140-2E49C853E31F}" presName="cycle" presStyleCnt="0"/>
      <dgm:spPr/>
    </dgm:pt>
    <dgm:pt modelId="{EA505110-1E07-4920-A5E7-083430FD3D5B}" type="pres">
      <dgm:prSet presAssocID="{D33806AC-18FC-4142-8D63-DD9B877080BA}" presName="nodeFirstNode" presStyleLbl="node1" presStyleIdx="0" presStyleCnt="5">
        <dgm:presLayoutVars>
          <dgm:bulletEnabled val="1"/>
        </dgm:presLayoutVars>
      </dgm:prSet>
      <dgm:spPr/>
      <dgm:t>
        <a:bodyPr/>
        <a:lstStyle/>
        <a:p>
          <a:endParaRPr lang="es-MX"/>
        </a:p>
      </dgm:t>
    </dgm:pt>
    <dgm:pt modelId="{5CB596B3-A843-487C-BDB7-E3EE51FF05CB}" type="pres">
      <dgm:prSet presAssocID="{73DB8779-27C4-44E4-93F8-45D9B98F9B8B}" presName="sibTransFirstNode" presStyleLbl="bgShp" presStyleIdx="0" presStyleCnt="1"/>
      <dgm:spPr/>
      <dgm:t>
        <a:bodyPr/>
        <a:lstStyle/>
        <a:p>
          <a:endParaRPr lang="es-MX"/>
        </a:p>
      </dgm:t>
    </dgm:pt>
    <dgm:pt modelId="{ED626C06-EA8B-4C49-A606-6BF807D021BB}" type="pres">
      <dgm:prSet presAssocID="{C0CD95AA-4E2D-48B2-89A5-B24DAD59C839}" presName="nodeFollowingNodes" presStyleLbl="node1" presStyleIdx="1" presStyleCnt="5">
        <dgm:presLayoutVars>
          <dgm:bulletEnabled val="1"/>
        </dgm:presLayoutVars>
      </dgm:prSet>
      <dgm:spPr/>
      <dgm:t>
        <a:bodyPr/>
        <a:lstStyle/>
        <a:p>
          <a:endParaRPr lang="es-MX"/>
        </a:p>
      </dgm:t>
    </dgm:pt>
    <dgm:pt modelId="{BD0B5155-F073-457B-9EE7-30D392944FF7}" type="pres">
      <dgm:prSet presAssocID="{3716F456-AE7E-46F6-84EB-ECF78CE04F74}" presName="nodeFollowingNodes" presStyleLbl="node1" presStyleIdx="2" presStyleCnt="5">
        <dgm:presLayoutVars>
          <dgm:bulletEnabled val="1"/>
        </dgm:presLayoutVars>
      </dgm:prSet>
      <dgm:spPr/>
      <dgm:t>
        <a:bodyPr/>
        <a:lstStyle/>
        <a:p>
          <a:endParaRPr lang="es-MX"/>
        </a:p>
      </dgm:t>
    </dgm:pt>
    <dgm:pt modelId="{710102BD-0DDA-4E6C-8616-D492D8381C41}" type="pres">
      <dgm:prSet presAssocID="{BCA7CD34-0A81-4A1C-A33A-A6D6CD12AFD0}" presName="nodeFollowingNodes" presStyleLbl="node1" presStyleIdx="3" presStyleCnt="5">
        <dgm:presLayoutVars>
          <dgm:bulletEnabled val="1"/>
        </dgm:presLayoutVars>
      </dgm:prSet>
      <dgm:spPr/>
      <dgm:t>
        <a:bodyPr/>
        <a:lstStyle/>
        <a:p>
          <a:endParaRPr lang="es-MX"/>
        </a:p>
      </dgm:t>
    </dgm:pt>
    <dgm:pt modelId="{232C6FDD-1738-4DA4-87F2-B40F77384637}" type="pres">
      <dgm:prSet presAssocID="{6ED5C920-89E4-4488-AE34-01D20E291F34}" presName="nodeFollowingNodes" presStyleLbl="node1" presStyleIdx="4" presStyleCnt="5">
        <dgm:presLayoutVars>
          <dgm:bulletEnabled val="1"/>
        </dgm:presLayoutVars>
      </dgm:prSet>
      <dgm:spPr/>
      <dgm:t>
        <a:bodyPr/>
        <a:lstStyle/>
        <a:p>
          <a:endParaRPr lang="es-MX"/>
        </a:p>
      </dgm:t>
    </dgm:pt>
  </dgm:ptLst>
  <dgm:cxnLst>
    <dgm:cxn modelId="{60607D87-A59E-4AE4-B919-5831ECC2D782}" type="presOf" srcId="{73DB8779-27C4-44E4-93F8-45D9B98F9B8B}" destId="{5CB596B3-A843-487C-BDB7-E3EE51FF05CB}" srcOrd="0" destOrd="0" presId="urn:microsoft.com/office/officeart/2005/8/layout/cycle3"/>
    <dgm:cxn modelId="{5B08CAD8-D43E-438B-86C9-D283A6831E83}" type="presOf" srcId="{9CA6756A-F8B7-47F0-9140-2E49C853E31F}" destId="{97B7891A-2A66-4ABB-9E6F-9C9C366FBAF0}" srcOrd="0" destOrd="0" presId="urn:microsoft.com/office/officeart/2005/8/layout/cycle3"/>
    <dgm:cxn modelId="{2CF63A1C-2A7B-4255-A215-B3D694005FA1}" type="presOf" srcId="{D33806AC-18FC-4142-8D63-DD9B877080BA}" destId="{EA505110-1E07-4920-A5E7-083430FD3D5B}" srcOrd="0" destOrd="0" presId="urn:microsoft.com/office/officeart/2005/8/layout/cycle3"/>
    <dgm:cxn modelId="{E0470BFB-4A4E-48B9-87B6-FF85FC77FF7C}" type="presOf" srcId="{C0CD95AA-4E2D-48B2-89A5-B24DAD59C839}" destId="{ED626C06-EA8B-4C49-A606-6BF807D021BB}" srcOrd="0" destOrd="0" presId="urn:microsoft.com/office/officeart/2005/8/layout/cycle3"/>
    <dgm:cxn modelId="{059E3621-0805-4D6A-BE7D-BF4A6274B5ED}" srcId="{9CA6756A-F8B7-47F0-9140-2E49C853E31F}" destId="{3716F456-AE7E-46F6-84EB-ECF78CE04F74}" srcOrd="2" destOrd="0" parTransId="{6F5AC0A6-0BB6-4167-B1D9-24696C548FE8}" sibTransId="{079B183B-F057-4BB3-A44D-8BB0E7A35117}"/>
    <dgm:cxn modelId="{22EB74DA-5B8A-4B96-9D67-840FD26EC230}" srcId="{9CA6756A-F8B7-47F0-9140-2E49C853E31F}" destId="{D33806AC-18FC-4142-8D63-DD9B877080BA}" srcOrd="0" destOrd="0" parTransId="{93F8B5A4-2530-4B59-80F3-557F3D88843D}" sibTransId="{73DB8779-27C4-44E4-93F8-45D9B98F9B8B}"/>
    <dgm:cxn modelId="{410AE83F-E2C4-446F-BEF1-40206781F27D}" type="presOf" srcId="{3716F456-AE7E-46F6-84EB-ECF78CE04F74}" destId="{BD0B5155-F073-457B-9EE7-30D392944FF7}" srcOrd="0" destOrd="0" presId="urn:microsoft.com/office/officeart/2005/8/layout/cycle3"/>
    <dgm:cxn modelId="{5EAFCA17-0C42-47F4-90CB-5F0FE89F78D0}" type="presOf" srcId="{6ED5C920-89E4-4488-AE34-01D20E291F34}" destId="{232C6FDD-1738-4DA4-87F2-B40F77384637}" srcOrd="0" destOrd="0" presId="urn:microsoft.com/office/officeart/2005/8/layout/cycle3"/>
    <dgm:cxn modelId="{29987651-7617-47A7-92D4-1F64247E9E1D}" type="presOf" srcId="{BCA7CD34-0A81-4A1C-A33A-A6D6CD12AFD0}" destId="{710102BD-0DDA-4E6C-8616-D492D8381C41}" srcOrd="0" destOrd="0" presId="urn:microsoft.com/office/officeart/2005/8/layout/cycle3"/>
    <dgm:cxn modelId="{F6883BB0-E252-4D93-ACC2-9443AEA2AD14}" srcId="{9CA6756A-F8B7-47F0-9140-2E49C853E31F}" destId="{6ED5C920-89E4-4488-AE34-01D20E291F34}" srcOrd="4" destOrd="0" parTransId="{C3411B63-E908-46CA-B777-F4873AAB2696}" sibTransId="{5FD8C9ED-4BC3-44FA-9A8A-CFC1EF65FEE8}"/>
    <dgm:cxn modelId="{F9BC28AF-AD23-48C4-A5C5-158259B4F4FF}" srcId="{9CA6756A-F8B7-47F0-9140-2E49C853E31F}" destId="{C0CD95AA-4E2D-48B2-89A5-B24DAD59C839}" srcOrd="1" destOrd="0" parTransId="{EFCC2B0E-8672-4C3E-9035-B05911C1750B}" sibTransId="{E133102E-87D6-44BB-AAAA-40F7AFA8E34C}"/>
    <dgm:cxn modelId="{329670D8-56A4-4569-B366-9BD1D739F87B}" srcId="{9CA6756A-F8B7-47F0-9140-2E49C853E31F}" destId="{BCA7CD34-0A81-4A1C-A33A-A6D6CD12AFD0}" srcOrd="3" destOrd="0" parTransId="{2581E78F-D898-4AC5-ADFA-EA6F2D988385}" sibTransId="{4E5B85A6-EAEE-4135-A0D9-46F42FC29125}"/>
    <dgm:cxn modelId="{957C912D-4543-4A21-8F99-F2F685D582E7}" type="presParOf" srcId="{97B7891A-2A66-4ABB-9E6F-9C9C366FBAF0}" destId="{82B6E663-85A4-4203-B043-0D906B620C42}" srcOrd="0" destOrd="0" presId="urn:microsoft.com/office/officeart/2005/8/layout/cycle3"/>
    <dgm:cxn modelId="{0159239D-CAB7-4AD0-BB1F-3F162F6208D3}" type="presParOf" srcId="{82B6E663-85A4-4203-B043-0D906B620C42}" destId="{EA505110-1E07-4920-A5E7-083430FD3D5B}" srcOrd="0" destOrd="0" presId="urn:microsoft.com/office/officeart/2005/8/layout/cycle3"/>
    <dgm:cxn modelId="{BBC2AD97-D3B1-43DD-83F2-6694869331F2}" type="presParOf" srcId="{82B6E663-85A4-4203-B043-0D906B620C42}" destId="{5CB596B3-A843-487C-BDB7-E3EE51FF05CB}" srcOrd="1" destOrd="0" presId="urn:microsoft.com/office/officeart/2005/8/layout/cycle3"/>
    <dgm:cxn modelId="{1DD09D3D-F461-4F30-8229-57A7C1E4127B}" type="presParOf" srcId="{82B6E663-85A4-4203-B043-0D906B620C42}" destId="{ED626C06-EA8B-4C49-A606-6BF807D021BB}" srcOrd="2" destOrd="0" presId="urn:microsoft.com/office/officeart/2005/8/layout/cycle3"/>
    <dgm:cxn modelId="{DB2B9552-E504-4671-ABB5-4DB6725A837D}" type="presParOf" srcId="{82B6E663-85A4-4203-B043-0D906B620C42}" destId="{BD0B5155-F073-457B-9EE7-30D392944FF7}" srcOrd="3" destOrd="0" presId="urn:microsoft.com/office/officeart/2005/8/layout/cycle3"/>
    <dgm:cxn modelId="{0632653B-8324-4BB9-99DB-93311298FC28}" type="presParOf" srcId="{82B6E663-85A4-4203-B043-0D906B620C42}" destId="{710102BD-0DDA-4E6C-8616-D492D8381C41}" srcOrd="4" destOrd="0" presId="urn:microsoft.com/office/officeart/2005/8/layout/cycle3"/>
    <dgm:cxn modelId="{6DDD34D8-6997-4BB5-8AC5-7867480EC747}" type="presParOf" srcId="{82B6E663-85A4-4203-B043-0D906B620C42}" destId="{232C6FDD-1738-4DA4-87F2-B40F77384637}" srcOrd="5" destOrd="0" presId="urn:microsoft.com/office/officeart/2005/8/layout/cycle3"/>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B596B3-A843-487C-BDB7-E3EE51FF05CB}">
      <dsp:nvSpPr>
        <dsp:cNvPr id="0" name=""/>
        <dsp:cNvSpPr/>
      </dsp:nvSpPr>
      <dsp:spPr>
        <a:xfrm>
          <a:off x="1000090" y="-12970"/>
          <a:ext cx="2611576" cy="2611576"/>
        </a:xfrm>
        <a:prstGeom prst="circularArrow">
          <a:avLst>
            <a:gd name="adj1" fmla="val 5544"/>
            <a:gd name="adj2" fmla="val 330680"/>
            <a:gd name="adj3" fmla="val 13873692"/>
            <a:gd name="adj4" fmla="val 17326747"/>
            <a:gd name="adj5" fmla="val 5757"/>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A505110-1E07-4920-A5E7-083430FD3D5B}">
      <dsp:nvSpPr>
        <dsp:cNvPr id="0" name=""/>
        <dsp:cNvSpPr/>
      </dsp:nvSpPr>
      <dsp:spPr>
        <a:xfrm>
          <a:off x="1720401" y="727"/>
          <a:ext cx="1170953" cy="58547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MX" sz="1050" kern="1200"/>
            <a:t>Programa Anual de Evaluación (PAE)</a:t>
          </a:r>
        </a:p>
      </dsp:txBody>
      <dsp:txXfrm>
        <a:off x="1748982" y="29308"/>
        <a:ext cx="1113791" cy="528314"/>
      </dsp:txXfrm>
    </dsp:sp>
    <dsp:sp modelId="{ED626C06-EA8B-4C49-A606-6BF807D021BB}">
      <dsp:nvSpPr>
        <dsp:cNvPr id="0" name=""/>
        <dsp:cNvSpPr/>
      </dsp:nvSpPr>
      <dsp:spPr>
        <a:xfrm>
          <a:off x="2779572" y="770260"/>
          <a:ext cx="1170953" cy="58547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MX" sz="1050" kern="1200"/>
            <a:t>Términos de referencia de Evaluaciones</a:t>
          </a:r>
        </a:p>
      </dsp:txBody>
      <dsp:txXfrm>
        <a:off x="2808153" y="798841"/>
        <a:ext cx="1113791" cy="528314"/>
      </dsp:txXfrm>
    </dsp:sp>
    <dsp:sp modelId="{BD0B5155-F073-457B-9EE7-30D392944FF7}">
      <dsp:nvSpPr>
        <dsp:cNvPr id="0" name=""/>
        <dsp:cNvSpPr/>
      </dsp:nvSpPr>
      <dsp:spPr>
        <a:xfrm>
          <a:off x="2375005" y="2015390"/>
          <a:ext cx="1170953" cy="58547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MX" sz="1050" kern="1200"/>
            <a:t>Reporte de resultados de las Evaluaciones</a:t>
          </a:r>
        </a:p>
      </dsp:txBody>
      <dsp:txXfrm>
        <a:off x="2403586" y="2043971"/>
        <a:ext cx="1113791" cy="528314"/>
      </dsp:txXfrm>
    </dsp:sp>
    <dsp:sp modelId="{710102BD-0DDA-4E6C-8616-D492D8381C41}">
      <dsp:nvSpPr>
        <dsp:cNvPr id="0" name=""/>
        <dsp:cNvSpPr/>
      </dsp:nvSpPr>
      <dsp:spPr>
        <a:xfrm>
          <a:off x="1065797" y="2015390"/>
          <a:ext cx="1170953" cy="58547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MX" sz="1050" kern="1200"/>
            <a:t>Transparencia y Rendición de cuentas</a:t>
          </a:r>
        </a:p>
      </dsp:txBody>
      <dsp:txXfrm>
        <a:off x="1094378" y="2043971"/>
        <a:ext cx="1113791" cy="528314"/>
      </dsp:txXfrm>
    </dsp:sp>
    <dsp:sp modelId="{232C6FDD-1738-4DA4-87F2-B40F77384637}">
      <dsp:nvSpPr>
        <dsp:cNvPr id="0" name=""/>
        <dsp:cNvSpPr/>
      </dsp:nvSpPr>
      <dsp:spPr>
        <a:xfrm>
          <a:off x="661230" y="770260"/>
          <a:ext cx="1170953" cy="58547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MX" sz="1050" kern="1200"/>
            <a:t>Seguimiento a Aspectos Suceptible de Mejora</a:t>
          </a:r>
        </a:p>
      </dsp:txBody>
      <dsp:txXfrm>
        <a:off x="689811" y="798841"/>
        <a:ext cx="1113791" cy="528314"/>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2F2687-BCD3-4E25-867A-A485A6BC0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3051</Words>
  <Characters>16785</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Myriam Monroy Quintero</dc:creator>
  <cp:lastModifiedBy>Julio Cesar Pineda</cp:lastModifiedBy>
  <cp:revision>3</cp:revision>
  <dcterms:created xsi:type="dcterms:W3CDTF">2014-04-30T20:37:00Z</dcterms:created>
  <dcterms:modified xsi:type="dcterms:W3CDTF">2014-04-30T20:42:00Z</dcterms:modified>
</cp:coreProperties>
</file>